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B59DE" w14:textId="77777777" w:rsidR="00525333" w:rsidRDefault="00525333" w:rsidP="00525333">
      <w:pPr>
        <w:pStyle w:val="Sinespaciado1"/>
        <w:jc w:val="center"/>
        <w:rPr>
          <w:rFonts w:ascii="Calibri" w:hAnsi="Calibri" w:cs="Verdana"/>
          <w:b/>
          <w:sz w:val="22"/>
          <w:szCs w:val="22"/>
        </w:rPr>
      </w:pPr>
    </w:p>
    <w:p w14:paraId="570361F4" w14:textId="76A0E64D" w:rsidR="00525333" w:rsidRPr="003F433B" w:rsidRDefault="009579E8" w:rsidP="00525333">
      <w:pPr>
        <w:pStyle w:val="Sinespaciado1"/>
        <w:jc w:val="center"/>
        <w:rPr>
          <w:rFonts w:ascii="Calibri" w:hAnsi="Calibri" w:cs="Verdana"/>
          <w:b/>
          <w:sz w:val="22"/>
          <w:szCs w:val="22"/>
        </w:rPr>
      </w:pPr>
      <w:r>
        <w:rPr>
          <w:rFonts w:ascii="Calibri" w:hAnsi="Calibri" w:cs="Verdana"/>
          <w:b/>
          <w:sz w:val="22"/>
          <w:szCs w:val="22"/>
        </w:rPr>
        <w:t>El sec</w:t>
      </w:r>
      <w:r w:rsidR="00C03651">
        <w:rPr>
          <w:rFonts w:ascii="Calibri" w:hAnsi="Calibri" w:cs="Verdana"/>
          <w:b/>
          <w:sz w:val="22"/>
          <w:szCs w:val="22"/>
        </w:rPr>
        <w:t>tor pesquero europeo, decepcionado</w:t>
      </w:r>
      <w:r>
        <w:rPr>
          <w:rFonts w:ascii="Calibri" w:hAnsi="Calibri" w:cs="Verdana"/>
          <w:b/>
          <w:sz w:val="22"/>
          <w:szCs w:val="22"/>
        </w:rPr>
        <w:t xml:space="preserve"> ante la</w:t>
      </w:r>
      <w:r w:rsidR="008F03D1">
        <w:rPr>
          <w:rFonts w:ascii="Calibri" w:hAnsi="Calibri" w:cs="Verdana"/>
          <w:b/>
          <w:sz w:val="22"/>
          <w:szCs w:val="22"/>
        </w:rPr>
        <w:t xml:space="preserve"> ausencia </w:t>
      </w:r>
      <w:r w:rsidR="00C03651">
        <w:rPr>
          <w:rFonts w:ascii="Calibri" w:hAnsi="Calibri" w:cs="Verdana"/>
          <w:b/>
          <w:sz w:val="22"/>
          <w:szCs w:val="22"/>
        </w:rPr>
        <w:t>de consenso</w:t>
      </w:r>
      <w:r>
        <w:rPr>
          <w:rFonts w:ascii="Calibri" w:hAnsi="Calibri" w:cs="Verdana"/>
          <w:b/>
          <w:sz w:val="22"/>
          <w:szCs w:val="22"/>
        </w:rPr>
        <w:t xml:space="preserve"> de </w:t>
      </w:r>
      <w:r w:rsidR="00C03651">
        <w:rPr>
          <w:rFonts w:ascii="Calibri" w:hAnsi="Calibri" w:cs="Verdana"/>
          <w:b/>
          <w:sz w:val="22"/>
          <w:szCs w:val="22"/>
        </w:rPr>
        <w:t>las partes contratantes de ICCAT para materializar las</w:t>
      </w:r>
      <w:r>
        <w:rPr>
          <w:rFonts w:ascii="Calibri" w:hAnsi="Calibri" w:cs="Verdana"/>
          <w:b/>
          <w:sz w:val="22"/>
          <w:szCs w:val="22"/>
        </w:rPr>
        <w:t xml:space="preserve"> medidas </w:t>
      </w:r>
      <w:r w:rsidR="00C03651">
        <w:rPr>
          <w:rFonts w:ascii="Calibri" w:hAnsi="Calibri" w:cs="Verdana"/>
          <w:b/>
          <w:sz w:val="22"/>
          <w:szCs w:val="22"/>
        </w:rPr>
        <w:t xml:space="preserve">debatidas </w:t>
      </w:r>
      <w:r>
        <w:rPr>
          <w:rFonts w:ascii="Calibri" w:hAnsi="Calibri" w:cs="Verdana"/>
          <w:b/>
          <w:sz w:val="22"/>
          <w:szCs w:val="22"/>
        </w:rPr>
        <w:t xml:space="preserve">en su 24ª Reunión, que culminó ayer en Malta </w:t>
      </w:r>
    </w:p>
    <w:p w14:paraId="37D1C0BB" w14:textId="77777777" w:rsidR="00525333" w:rsidRDefault="00525333" w:rsidP="00525333">
      <w:pPr>
        <w:widowControl w:val="0"/>
        <w:autoSpaceDE w:val="0"/>
        <w:autoSpaceDN w:val="0"/>
        <w:adjustRightInd w:val="0"/>
        <w:jc w:val="center"/>
        <w:rPr>
          <w:rFonts w:asciiTheme="minorHAnsi" w:hAnsiTheme="minorHAnsi" w:cs="Verdana"/>
          <w:b/>
        </w:rPr>
      </w:pPr>
    </w:p>
    <w:p w14:paraId="788D4099" w14:textId="1F523ADE" w:rsidR="00525333" w:rsidRDefault="00525333" w:rsidP="008F03D1">
      <w:pPr>
        <w:widowControl w:val="0"/>
        <w:autoSpaceDE w:val="0"/>
        <w:autoSpaceDN w:val="0"/>
        <w:adjustRightInd w:val="0"/>
        <w:jc w:val="center"/>
        <w:rPr>
          <w:rFonts w:asciiTheme="minorHAnsi" w:hAnsiTheme="minorHAnsi" w:cs="Verdana"/>
          <w:b/>
        </w:rPr>
      </w:pPr>
      <w:r w:rsidRPr="00DB26C0">
        <w:rPr>
          <w:rFonts w:asciiTheme="minorHAnsi" w:hAnsiTheme="minorHAnsi" w:cs="Verdana"/>
          <w:b/>
        </w:rPr>
        <w:t>CEPESCA</w:t>
      </w:r>
      <w:r>
        <w:rPr>
          <w:rFonts w:asciiTheme="minorHAnsi" w:hAnsiTheme="minorHAnsi" w:cs="Verdana"/>
          <w:b/>
        </w:rPr>
        <w:t xml:space="preserve"> LAMENTA LA FALTA </w:t>
      </w:r>
      <w:r w:rsidR="0096656A">
        <w:rPr>
          <w:rFonts w:asciiTheme="minorHAnsi" w:hAnsiTheme="minorHAnsi" w:cs="Verdana"/>
          <w:b/>
        </w:rPr>
        <w:t>DE</w:t>
      </w:r>
      <w:r w:rsidRPr="00DB26C0">
        <w:rPr>
          <w:rFonts w:asciiTheme="minorHAnsi" w:hAnsiTheme="minorHAnsi" w:cs="Verdana"/>
          <w:b/>
        </w:rPr>
        <w:t xml:space="preserve"> </w:t>
      </w:r>
      <w:r>
        <w:rPr>
          <w:rFonts w:asciiTheme="minorHAnsi" w:hAnsiTheme="minorHAnsi" w:cs="Verdana"/>
          <w:b/>
        </w:rPr>
        <w:t xml:space="preserve">RESOLUCIÓN </w:t>
      </w:r>
      <w:r w:rsidR="00FB6B0D">
        <w:rPr>
          <w:rFonts w:asciiTheme="minorHAnsi" w:hAnsiTheme="minorHAnsi" w:cs="Verdana"/>
          <w:b/>
        </w:rPr>
        <w:t>D</w:t>
      </w:r>
      <w:r w:rsidR="00C03651">
        <w:rPr>
          <w:rFonts w:asciiTheme="minorHAnsi" w:hAnsiTheme="minorHAnsi" w:cs="Verdana"/>
          <w:b/>
        </w:rPr>
        <w:t>E LOS MIEMBROS DE</w:t>
      </w:r>
      <w:r w:rsidR="00FB6B0D">
        <w:rPr>
          <w:rFonts w:asciiTheme="minorHAnsi" w:hAnsiTheme="minorHAnsi" w:cs="Verdana"/>
          <w:b/>
        </w:rPr>
        <w:t xml:space="preserve"> ICCAT ANTE LAS PROPUESTAS DEL SECTOR PESQUERO EUROPEO A FAVOR DE LA SOSTENIBILIDAD </w:t>
      </w:r>
    </w:p>
    <w:p w14:paraId="30A92B3E" w14:textId="77777777" w:rsidR="008F03D1" w:rsidRPr="008F03D1" w:rsidRDefault="008F03D1" w:rsidP="008F03D1">
      <w:pPr>
        <w:widowControl w:val="0"/>
        <w:autoSpaceDE w:val="0"/>
        <w:autoSpaceDN w:val="0"/>
        <w:adjustRightInd w:val="0"/>
        <w:jc w:val="center"/>
        <w:rPr>
          <w:rFonts w:asciiTheme="minorHAnsi" w:hAnsiTheme="minorHAnsi" w:cs="Verdana"/>
          <w:b/>
        </w:rPr>
      </w:pPr>
    </w:p>
    <w:p w14:paraId="5DF42D55" w14:textId="5E5E9D39" w:rsidR="0096656A" w:rsidRPr="0096656A" w:rsidRDefault="0096656A" w:rsidP="009579E8">
      <w:pPr>
        <w:pStyle w:val="Prrafodelista"/>
        <w:widowControl w:val="0"/>
        <w:numPr>
          <w:ilvl w:val="0"/>
          <w:numId w:val="1"/>
        </w:numPr>
        <w:autoSpaceDE w:val="0"/>
        <w:autoSpaceDN w:val="0"/>
        <w:adjustRightInd w:val="0"/>
        <w:spacing w:after="240"/>
        <w:jc w:val="both"/>
        <w:rPr>
          <w:rFonts w:asciiTheme="minorHAnsi" w:hAnsiTheme="minorHAnsi" w:cs="Verdana"/>
          <w:b/>
          <w:sz w:val="22"/>
          <w:szCs w:val="22"/>
        </w:rPr>
      </w:pPr>
      <w:r>
        <w:rPr>
          <w:rFonts w:asciiTheme="minorHAnsi" w:hAnsiTheme="minorHAnsi" w:cs="Verdana"/>
          <w:b/>
        </w:rPr>
        <w:t xml:space="preserve">CEPESCA critica </w:t>
      </w:r>
      <w:r w:rsidR="00FB6B0D" w:rsidRPr="00FB6B0D">
        <w:rPr>
          <w:rFonts w:asciiTheme="minorHAnsi" w:hAnsiTheme="minorHAnsi" w:cs="Verdana"/>
          <w:b/>
        </w:rPr>
        <w:t xml:space="preserve">la falta de previsión de ICCAT </w:t>
      </w:r>
      <w:r w:rsidR="008F03D1">
        <w:rPr>
          <w:rFonts w:asciiTheme="minorHAnsi" w:hAnsiTheme="minorHAnsi" w:cs="Verdana"/>
          <w:b/>
        </w:rPr>
        <w:t xml:space="preserve">en cuanto a la asignación de cuotas </w:t>
      </w:r>
      <w:r w:rsidR="00FB6B0D" w:rsidRPr="00FB6B0D">
        <w:rPr>
          <w:rFonts w:asciiTheme="minorHAnsi" w:hAnsiTheme="minorHAnsi" w:cs="Verdana"/>
          <w:b/>
        </w:rPr>
        <w:t xml:space="preserve">ante el repunte del atún rojo del Atlántico y del Mediterráneo, cuyos </w:t>
      </w:r>
      <w:r>
        <w:rPr>
          <w:rFonts w:asciiTheme="minorHAnsi" w:hAnsiTheme="minorHAnsi" w:cs="Verdana"/>
          <w:b/>
        </w:rPr>
        <w:t>índices de abundancia están</w:t>
      </w:r>
      <w:r w:rsidR="00FB6B0D" w:rsidRPr="00FB6B0D">
        <w:rPr>
          <w:rFonts w:asciiTheme="minorHAnsi" w:hAnsiTheme="minorHAnsi" w:cs="Verdana"/>
          <w:b/>
        </w:rPr>
        <w:t xml:space="preserve"> en máximos hist</w:t>
      </w:r>
      <w:r w:rsidR="00FB6B0D">
        <w:rPr>
          <w:rFonts w:asciiTheme="minorHAnsi" w:hAnsiTheme="minorHAnsi" w:cs="Verdana"/>
          <w:b/>
        </w:rPr>
        <w:t>óricos</w:t>
      </w:r>
    </w:p>
    <w:p w14:paraId="7B7C0A8A" w14:textId="2B133187" w:rsidR="0096656A" w:rsidRPr="0096656A" w:rsidRDefault="0096656A" w:rsidP="009579E8">
      <w:pPr>
        <w:pStyle w:val="Prrafodelista"/>
        <w:widowControl w:val="0"/>
        <w:numPr>
          <w:ilvl w:val="0"/>
          <w:numId w:val="1"/>
        </w:numPr>
        <w:autoSpaceDE w:val="0"/>
        <w:autoSpaceDN w:val="0"/>
        <w:adjustRightInd w:val="0"/>
        <w:spacing w:after="240"/>
        <w:jc w:val="both"/>
        <w:rPr>
          <w:rFonts w:asciiTheme="minorHAnsi" w:hAnsiTheme="minorHAnsi" w:cs="Verdana"/>
          <w:b/>
          <w:sz w:val="22"/>
          <w:szCs w:val="22"/>
        </w:rPr>
      </w:pPr>
      <w:r w:rsidRPr="0096656A">
        <w:rPr>
          <w:rFonts w:asciiTheme="minorHAnsi" w:hAnsiTheme="minorHAnsi" w:cs="Verdana"/>
          <w:b/>
        </w:rPr>
        <w:t xml:space="preserve">Según Javier Garat, </w:t>
      </w:r>
      <w:r w:rsidRPr="0096656A">
        <w:rPr>
          <w:rFonts w:asciiTheme="minorHAnsi" w:hAnsiTheme="minorHAnsi" w:cs="Verdana"/>
          <w:b/>
          <w:i/>
        </w:rPr>
        <w:t>“resulta frustrante la pasividad que ha</w:t>
      </w:r>
      <w:r w:rsidR="008F03D1">
        <w:rPr>
          <w:rFonts w:asciiTheme="minorHAnsi" w:hAnsiTheme="minorHAnsi" w:cs="Verdana"/>
          <w:b/>
          <w:i/>
        </w:rPr>
        <w:t>n</w:t>
      </w:r>
      <w:r w:rsidRPr="0096656A">
        <w:rPr>
          <w:rFonts w:asciiTheme="minorHAnsi" w:hAnsiTheme="minorHAnsi" w:cs="Verdana"/>
          <w:b/>
          <w:i/>
        </w:rPr>
        <w:t xml:space="preserve"> demostrado </w:t>
      </w:r>
      <w:r w:rsidR="008F03D1">
        <w:rPr>
          <w:rFonts w:asciiTheme="minorHAnsi" w:hAnsiTheme="minorHAnsi" w:cs="Verdana"/>
          <w:b/>
          <w:i/>
        </w:rPr>
        <w:t xml:space="preserve">los socios de </w:t>
      </w:r>
      <w:r w:rsidRPr="0096656A">
        <w:rPr>
          <w:rFonts w:asciiTheme="minorHAnsi" w:hAnsiTheme="minorHAnsi" w:cs="Verdana"/>
          <w:b/>
          <w:i/>
        </w:rPr>
        <w:t>ICCAT ante la actitud de las flotas asiáticas, que un año más se reiteran en su falta de voluntad para eliminar prácticas que minan la justa competencia”</w:t>
      </w:r>
    </w:p>
    <w:p w14:paraId="60AD4937" w14:textId="6A244631" w:rsidR="00525333" w:rsidRDefault="00525333" w:rsidP="005253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rPr>
      </w:pPr>
      <w:bookmarkStart w:id="0" w:name="_GoBack"/>
      <w:r>
        <w:rPr>
          <w:rFonts w:asciiTheme="minorHAnsi" w:hAnsiTheme="minorHAnsi" w:cs="Verdana"/>
          <w:u w:val="single"/>
        </w:rPr>
        <w:t xml:space="preserve">Madrid, </w:t>
      </w:r>
      <w:r w:rsidR="00336CEB">
        <w:rPr>
          <w:rFonts w:asciiTheme="minorHAnsi" w:hAnsiTheme="minorHAnsi" w:cs="Verdana"/>
          <w:u w:val="single"/>
        </w:rPr>
        <w:t>18</w:t>
      </w:r>
      <w:r>
        <w:rPr>
          <w:rFonts w:asciiTheme="minorHAnsi" w:hAnsiTheme="minorHAnsi" w:cs="Verdana"/>
          <w:u w:val="single"/>
        </w:rPr>
        <w:t xml:space="preserve"> de noviembre </w:t>
      </w:r>
      <w:r w:rsidRPr="002C3FE8">
        <w:rPr>
          <w:rFonts w:asciiTheme="minorHAnsi" w:hAnsiTheme="minorHAnsi" w:cs="Verdana"/>
          <w:u w:val="single"/>
        </w:rPr>
        <w:t>de 2015</w:t>
      </w:r>
      <w:r>
        <w:rPr>
          <w:rFonts w:asciiTheme="minorHAnsi" w:hAnsiTheme="minorHAnsi" w:cs="Verdana"/>
        </w:rPr>
        <w:t>.- L</w:t>
      </w:r>
      <w:r w:rsidRPr="006136A1">
        <w:rPr>
          <w:rFonts w:asciiTheme="minorHAnsi" w:hAnsiTheme="minorHAnsi" w:cs="Verdana"/>
        </w:rPr>
        <w:t xml:space="preserve">a </w:t>
      </w:r>
      <w:hyperlink r:id="rId7" w:history="1">
        <w:r w:rsidRPr="00500A54">
          <w:rPr>
            <w:rStyle w:val="Hipervnculo"/>
            <w:rFonts w:asciiTheme="minorHAnsi" w:hAnsiTheme="minorHAnsi" w:cs="Verdana"/>
          </w:rPr>
          <w:t>Confederación Española de Pesca (CEPESCA</w:t>
        </w:r>
      </w:hyperlink>
      <w:r w:rsidRPr="0086647D">
        <w:rPr>
          <w:rFonts w:asciiTheme="minorHAnsi" w:hAnsiTheme="minorHAnsi" w:cs="Verdana"/>
        </w:rPr>
        <w:t xml:space="preserve">) </w:t>
      </w:r>
      <w:r>
        <w:rPr>
          <w:rFonts w:asciiTheme="minorHAnsi" w:hAnsiTheme="minorHAnsi" w:cs="Verdana"/>
        </w:rPr>
        <w:t>ha manifestado su decepción an</w:t>
      </w:r>
      <w:r w:rsidR="008F03D1">
        <w:rPr>
          <w:rFonts w:asciiTheme="minorHAnsi" w:hAnsiTheme="minorHAnsi" w:cs="Verdana"/>
        </w:rPr>
        <w:t xml:space="preserve">te la falta de resolución de los miembros de la </w:t>
      </w:r>
      <w:r>
        <w:rPr>
          <w:rFonts w:asciiTheme="minorHAnsi" w:hAnsiTheme="minorHAnsi" w:cs="Verdana"/>
        </w:rPr>
        <w:t>Comisión Internacional para la Conservación del Atún Atlántico (ICCAT) y, específicamente, la falta de voluntad de los pa</w:t>
      </w:r>
      <w:r w:rsidR="00336CEB">
        <w:rPr>
          <w:rFonts w:asciiTheme="minorHAnsi" w:hAnsiTheme="minorHAnsi" w:cs="Verdana"/>
        </w:rPr>
        <w:t>íse</w:t>
      </w:r>
      <w:r>
        <w:rPr>
          <w:rFonts w:asciiTheme="minorHAnsi" w:hAnsiTheme="minorHAnsi" w:cs="Verdana"/>
        </w:rPr>
        <w:t>s asiáticos y otros costeros del Atlántico para transformar en medidas re</w:t>
      </w:r>
      <w:r w:rsidR="009D3CC6">
        <w:rPr>
          <w:rFonts w:asciiTheme="minorHAnsi" w:hAnsiTheme="minorHAnsi" w:cs="Verdana"/>
        </w:rPr>
        <w:t>ales propuestas y peticiones del sector pesquero europeo</w:t>
      </w:r>
      <w:r>
        <w:rPr>
          <w:rFonts w:asciiTheme="minorHAnsi" w:hAnsiTheme="minorHAnsi" w:cs="Verdana"/>
        </w:rPr>
        <w:t xml:space="preserve"> en aras de la sostenibilidad y la justa compe</w:t>
      </w:r>
      <w:r w:rsidR="00FB6B0D">
        <w:rPr>
          <w:rFonts w:asciiTheme="minorHAnsi" w:hAnsiTheme="minorHAnsi" w:cs="Verdana"/>
        </w:rPr>
        <w:t>tencia.</w:t>
      </w:r>
    </w:p>
    <w:p w14:paraId="72DEB132" w14:textId="77777777" w:rsidR="00525333" w:rsidRDefault="00525333" w:rsidP="005253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rPr>
      </w:pPr>
    </w:p>
    <w:p w14:paraId="6440D2C8" w14:textId="30FBF2B1" w:rsidR="00336CEB" w:rsidRDefault="00AF0474" w:rsidP="002F1C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inorHAnsi" w:hAnsiTheme="minorHAnsi" w:cs="Verdana"/>
        </w:rPr>
      </w:pPr>
      <w:r>
        <w:rPr>
          <w:rFonts w:asciiTheme="minorHAnsi" w:hAnsiTheme="minorHAnsi" w:cs="Verdana"/>
        </w:rPr>
        <w:t>En este sentido</w:t>
      </w:r>
      <w:r w:rsidR="002F1C27">
        <w:rPr>
          <w:rFonts w:asciiTheme="minorHAnsi" w:hAnsiTheme="minorHAnsi" w:cs="Verdana"/>
        </w:rPr>
        <w:t>, CEPESCA lamenta la falta de previsión ante el repunte del atún rojo del Atlántico y del Mediterr</w:t>
      </w:r>
      <w:r w:rsidR="00336CEB">
        <w:rPr>
          <w:rFonts w:asciiTheme="minorHAnsi" w:hAnsiTheme="minorHAnsi" w:cs="Verdana"/>
        </w:rPr>
        <w:t xml:space="preserve">áneo, cuyos índices de abundancia se sitúan en máximos históricos, </w:t>
      </w:r>
      <w:r w:rsidR="002F1C27">
        <w:rPr>
          <w:rFonts w:asciiTheme="minorHAnsi" w:hAnsiTheme="minorHAnsi" w:cs="Verdana"/>
        </w:rPr>
        <w:t>y la consiguiente desatención a la propuesta del sector pesquero español que, respaldado por el Gobierno, solicitaba aplicar en 2016 el cupo previsto para 2017, es decir, un Total Admisible de Capturas (TAC) de 23.155 Tn. El incremento del TAC para el próximo año será, por tanto, el 20% acordado en 2014, situándose en 19.296 Tn para el total de países que capturan esta especie, de las cuales 3.524 Tn corresponden a España.</w:t>
      </w:r>
    </w:p>
    <w:p w14:paraId="25E33A2B" w14:textId="0C44EC83" w:rsidR="00336CEB" w:rsidRDefault="00336CEB" w:rsidP="002F1C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inorHAnsi" w:hAnsiTheme="minorHAnsi" w:cs="Verdana"/>
        </w:rPr>
      </w:pPr>
      <w:r>
        <w:rPr>
          <w:rFonts w:asciiTheme="minorHAnsi" w:hAnsiTheme="minorHAnsi" w:cs="Verdana"/>
        </w:rPr>
        <w:t>CE</w:t>
      </w:r>
      <w:r w:rsidR="008F03D1">
        <w:rPr>
          <w:rFonts w:asciiTheme="minorHAnsi" w:hAnsiTheme="minorHAnsi" w:cs="Verdana"/>
        </w:rPr>
        <w:t xml:space="preserve">PESCA también critica que </w:t>
      </w:r>
      <w:r>
        <w:rPr>
          <w:rFonts w:asciiTheme="minorHAnsi" w:hAnsiTheme="minorHAnsi" w:cs="Verdana"/>
        </w:rPr>
        <w:t xml:space="preserve">no </w:t>
      </w:r>
      <w:r w:rsidR="008F03D1">
        <w:rPr>
          <w:rFonts w:asciiTheme="minorHAnsi" w:hAnsiTheme="minorHAnsi" w:cs="Verdana"/>
        </w:rPr>
        <w:t xml:space="preserve">se </w:t>
      </w:r>
      <w:r>
        <w:rPr>
          <w:rFonts w:asciiTheme="minorHAnsi" w:hAnsiTheme="minorHAnsi" w:cs="Verdana"/>
        </w:rPr>
        <w:t xml:space="preserve">haya respondido favorablemente a la petición del sector para cerrar las fronteras al atún rojo procedente de Turquía ante la acción de asignación unilateral de una cuota adicional de 600 Tn por parte </w:t>
      </w:r>
      <w:r w:rsidR="005C7307">
        <w:rPr>
          <w:rFonts w:asciiTheme="minorHAnsi" w:hAnsiTheme="minorHAnsi" w:cs="Verdana"/>
        </w:rPr>
        <w:t xml:space="preserve">de </w:t>
      </w:r>
      <w:r>
        <w:rPr>
          <w:rFonts w:asciiTheme="minorHAnsi" w:hAnsiTheme="minorHAnsi" w:cs="Verdana"/>
        </w:rPr>
        <w:t xml:space="preserve">este país. </w:t>
      </w:r>
    </w:p>
    <w:p w14:paraId="193B5299" w14:textId="3FC478DB" w:rsidR="00336CEB" w:rsidRDefault="009D3CC6" w:rsidP="002F1C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inorHAnsi" w:hAnsiTheme="minorHAnsi" w:cs="Verdana"/>
        </w:rPr>
      </w:pPr>
      <w:r>
        <w:rPr>
          <w:rFonts w:asciiTheme="minorHAnsi" w:hAnsiTheme="minorHAnsi" w:cs="Verdana"/>
        </w:rPr>
        <w:t>Respecto al atún patudo, ICCAT ha</w:t>
      </w:r>
      <w:r w:rsidR="008F03D1">
        <w:rPr>
          <w:rFonts w:asciiTheme="minorHAnsi" w:hAnsiTheme="minorHAnsi" w:cs="Verdana"/>
        </w:rPr>
        <w:t xml:space="preserve"> determinado una reducción</w:t>
      </w:r>
      <w:r>
        <w:rPr>
          <w:rFonts w:asciiTheme="minorHAnsi" w:hAnsiTheme="minorHAnsi" w:cs="Verdana"/>
        </w:rPr>
        <w:t xml:space="preserve"> </w:t>
      </w:r>
      <w:r w:rsidR="008F03D1">
        <w:rPr>
          <w:rFonts w:asciiTheme="minorHAnsi" w:hAnsiTheme="minorHAnsi" w:cs="Verdana"/>
        </w:rPr>
        <w:t>d</w:t>
      </w:r>
      <w:r>
        <w:rPr>
          <w:rFonts w:asciiTheme="minorHAnsi" w:hAnsiTheme="minorHAnsi" w:cs="Verdana"/>
        </w:rPr>
        <w:t>el TAC a 65.000 Tn -en lugar de las 7</w:t>
      </w:r>
      <w:r w:rsidR="00336CEB">
        <w:rPr>
          <w:rFonts w:asciiTheme="minorHAnsi" w:hAnsiTheme="minorHAnsi" w:cs="Verdana"/>
        </w:rPr>
        <w:t>0.000 T</w:t>
      </w:r>
      <w:r>
        <w:rPr>
          <w:rFonts w:asciiTheme="minorHAnsi" w:hAnsiTheme="minorHAnsi" w:cs="Verdana"/>
        </w:rPr>
        <w:t>n que proponía el sector pesquero europeo-, se ha aprobado una veda temporal de 2 m</w:t>
      </w:r>
      <w:r w:rsidR="005C7307">
        <w:rPr>
          <w:rFonts w:asciiTheme="minorHAnsi" w:hAnsiTheme="minorHAnsi" w:cs="Verdana"/>
        </w:rPr>
        <w:t>eses –enero y febrero- para</w:t>
      </w:r>
      <w:r>
        <w:rPr>
          <w:rFonts w:asciiTheme="minorHAnsi" w:hAnsiTheme="minorHAnsi" w:cs="Verdana"/>
        </w:rPr>
        <w:t xml:space="preserve"> pesca con FAD en una zona </w:t>
      </w:r>
      <w:r w:rsidR="00336CEB">
        <w:rPr>
          <w:rFonts w:asciiTheme="minorHAnsi" w:hAnsiTheme="minorHAnsi" w:cs="Verdana"/>
        </w:rPr>
        <w:t>ampliada en el golfo de Guinea</w:t>
      </w:r>
      <w:r>
        <w:rPr>
          <w:rFonts w:asciiTheme="minorHAnsi" w:hAnsiTheme="minorHAnsi" w:cs="Verdana"/>
        </w:rPr>
        <w:t>, y se ha fijado asimismo en 500 –el sector proponía 550- el límite de FADs por buque</w:t>
      </w:r>
      <w:r w:rsidR="00336CEB">
        <w:rPr>
          <w:rFonts w:asciiTheme="minorHAnsi" w:hAnsiTheme="minorHAnsi" w:cs="Verdana"/>
        </w:rPr>
        <w:t xml:space="preserve"> para la fl</w:t>
      </w:r>
      <w:r w:rsidR="005C7307">
        <w:rPr>
          <w:rFonts w:asciiTheme="minorHAnsi" w:hAnsiTheme="minorHAnsi" w:cs="Verdana"/>
        </w:rPr>
        <w:t>ota atunera congeladora de cerco</w:t>
      </w:r>
      <w:r>
        <w:rPr>
          <w:rFonts w:asciiTheme="minorHAnsi" w:hAnsiTheme="minorHAnsi" w:cs="Verdana"/>
        </w:rPr>
        <w:t>.</w:t>
      </w:r>
    </w:p>
    <w:p w14:paraId="13DC7C4B" w14:textId="3C070440" w:rsidR="009D3CC6" w:rsidRDefault="005C7307" w:rsidP="002F1C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inorHAnsi" w:hAnsiTheme="minorHAnsi" w:cs="Verdana"/>
        </w:rPr>
      </w:pPr>
      <w:r>
        <w:rPr>
          <w:rFonts w:asciiTheme="minorHAnsi" w:hAnsiTheme="minorHAnsi" w:cs="Verdana"/>
        </w:rPr>
        <w:t>Además</w:t>
      </w:r>
      <w:r w:rsidR="009D3CC6">
        <w:rPr>
          <w:rFonts w:asciiTheme="minorHAnsi" w:hAnsiTheme="minorHAnsi" w:cs="Verdana"/>
        </w:rPr>
        <w:t xml:space="preserve">, </w:t>
      </w:r>
      <w:r w:rsidR="008F03D1">
        <w:rPr>
          <w:rFonts w:asciiTheme="minorHAnsi" w:hAnsiTheme="minorHAnsi" w:cs="Verdana"/>
        </w:rPr>
        <w:t xml:space="preserve">los miembros de </w:t>
      </w:r>
      <w:r w:rsidR="009D3CC6">
        <w:rPr>
          <w:rFonts w:asciiTheme="minorHAnsi" w:hAnsiTheme="minorHAnsi" w:cs="Verdana"/>
        </w:rPr>
        <w:t xml:space="preserve">ICCAT </w:t>
      </w:r>
      <w:r w:rsidR="008F03D1">
        <w:rPr>
          <w:rFonts w:asciiTheme="minorHAnsi" w:hAnsiTheme="minorHAnsi" w:cs="Verdana"/>
        </w:rPr>
        <w:t xml:space="preserve">no han logrado consenso en relación con </w:t>
      </w:r>
      <w:r w:rsidR="00CA4F40">
        <w:rPr>
          <w:rFonts w:asciiTheme="minorHAnsi" w:hAnsiTheme="minorHAnsi" w:cs="Verdana"/>
        </w:rPr>
        <w:t xml:space="preserve">las propuestas del sector </w:t>
      </w:r>
      <w:r w:rsidR="00AF0474">
        <w:rPr>
          <w:rFonts w:asciiTheme="minorHAnsi" w:hAnsiTheme="minorHAnsi" w:cs="Verdana"/>
        </w:rPr>
        <w:t xml:space="preserve">para </w:t>
      </w:r>
      <w:r w:rsidR="00CA4F40">
        <w:rPr>
          <w:rFonts w:asciiTheme="minorHAnsi" w:hAnsiTheme="minorHAnsi" w:cs="Verdana"/>
        </w:rPr>
        <w:t xml:space="preserve">eliminar </w:t>
      </w:r>
      <w:r w:rsidR="00C03651">
        <w:rPr>
          <w:rFonts w:asciiTheme="minorHAnsi" w:hAnsiTheme="minorHAnsi" w:cs="Verdana"/>
        </w:rPr>
        <w:t xml:space="preserve">presuntas </w:t>
      </w:r>
      <w:r w:rsidR="00CA4F40">
        <w:rPr>
          <w:rFonts w:asciiTheme="minorHAnsi" w:hAnsiTheme="minorHAnsi" w:cs="Verdana"/>
        </w:rPr>
        <w:t xml:space="preserve">prácticas abusivas de los palangreros asiáticos que capturan túnidos, incluidas tanto la petición de extender a esta flota la prohibición de transbordos </w:t>
      </w:r>
      <w:r w:rsidR="00AF0474">
        <w:rPr>
          <w:rFonts w:asciiTheme="minorHAnsi" w:hAnsiTheme="minorHAnsi" w:cs="Verdana"/>
        </w:rPr>
        <w:t xml:space="preserve">en alta mar, que cumple desde hace años </w:t>
      </w:r>
      <w:r w:rsidR="00CA4F40">
        <w:rPr>
          <w:rFonts w:asciiTheme="minorHAnsi" w:hAnsiTheme="minorHAnsi" w:cs="Verdana"/>
        </w:rPr>
        <w:t>la flota comunitaria cerquera</w:t>
      </w:r>
      <w:r w:rsidR="008F03D1">
        <w:rPr>
          <w:rFonts w:asciiTheme="minorHAnsi" w:hAnsiTheme="minorHAnsi" w:cs="Verdana"/>
        </w:rPr>
        <w:t xml:space="preserve"> y palangrera</w:t>
      </w:r>
      <w:r w:rsidR="00CA4F40">
        <w:rPr>
          <w:rFonts w:asciiTheme="minorHAnsi" w:hAnsiTheme="minorHAnsi" w:cs="Verdana"/>
        </w:rPr>
        <w:t xml:space="preserve">, </w:t>
      </w:r>
      <w:r w:rsidR="00AF0474">
        <w:rPr>
          <w:rFonts w:asciiTheme="minorHAnsi" w:hAnsiTheme="minorHAnsi" w:cs="Verdana"/>
        </w:rPr>
        <w:t xml:space="preserve">así </w:t>
      </w:r>
      <w:r w:rsidR="00CA4F40">
        <w:rPr>
          <w:rFonts w:asciiTheme="minorHAnsi" w:hAnsiTheme="minorHAnsi" w:cs="Verdana"/>
        </w:rPr>
        <w:t xml:space="preserve">como la </w:t>
      </w:r>
      <w:r w:rsidR="008F03D1">
        <w:rPr>
          <w:rFonts w:asciiTheme="minorHAnsi" w:hAnsiTheme="minorHAnsi" w:cs="Verdana"/>
        </w:rPr>
        <w:t xml:space="preserve">exigencia de llevar </w:t>
      </w:r>
      <w:r w:rsidR="00CA4F40">
        <w:rPr>
          <w:rFonts w:asciiTheme="minorHAnsi" w:hAnsiTheme="minorHAnsi" w:cs="Verdana"/>
        </w:rPr>
        <w:t>observadores perma</w:t>
      </w:r>
      <w:r w:rsidR="00C03651">
        <w:rPr>
          <w:rFonts w:asciiTheme="minorHAnsi" w:hAnsiTheme="minorHAnsi" w:cs="Verdana"/>
        </w:rPr>
        <w:t xml:space="preserve">nentes en los buques. </w:t>
      </w:r>
    </w:p>
    <w:p w14:paraId="0C991261" w14:textId="7F2186F5" w:rsidR="00FB6B0D" w:rsidRDefault="008F03D1" w:rsidP="002F1C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inorHAnsi" w:hAnsiTheme="minorHAnsi" w:cs="Verdana"/>
        </w:rPr>
      </w:pPr>
      <w:r>
        <w:rPr>
          <w:rFonts w:asciiTheme="minorHAnsi" w:hAnsiTheme="minorHAnsi" w:cs="Verdana"/>
        </w:rPr>
        <w:lastRenderedPageBreak/>
        <w:t xml:space="preserve">Durante la </w:t>
      </w:r>
      <w:r w:rsidR="006C2F6C">
        <w:rPr>
          <w:rFonts w:asciiTheme="minorHAnsi" w:hAnsiTheme="minorHAnsi" w:cs="Verdana"/>
        </w:rPr>
        <w:t>reunión</w:t>
      </w:r>
      <w:r w:rsidR="005C7307">
        <w:rPr>
          <w:rFonts w:asciiTheme="minorHAnsi" w:hAnsiTheme="minorHAnsi" w:cs="Verdana"/>
        </w:rPr>
        <w:t>,</w:t>
      </w:r>
      <w:r>
        <w:rPr>
          <w:rFonts w:asciiTheme="minorHAnsi" w:hAnsiTheme="minorHAnsi" w:cs="Verdana"/>
        </w:rPr>
        <w:t xml:space="preserve"> tampoco se</w:t>
      </w:r>
      <w:r w:rsidR="00FB6B0D">
        <w:rPr>
          <w:rFonts w:asciiTheme="minorHAnsi" w:hAnsiTheme="minorHAnsi" w:cs="Verdana"/>
        </w:rPr>
        <w:t xml:space="preserve"> ha </w:t>
      </w:r>
      <w:r>
        <w:rPr>
          <w:rFonts w:asciiTheme="minorHAnsi" w:hAnsiTheme="minorHAnsi" w:cs="Verdana"/>
        </w:rPr>
        <w:t xml:space="preserve">logrado aunar posiciones en relación </w:t>
      </w:r>
      <w:r w:rsidR="00FB6B0D">
        <w:rPr>
          <w:rFonts w:asciiTheme="minorHAnsi" w:hAnsiTheme="minorHAnsi" w:cs="Verdana"/>
        </w:rPr>
        <w:t xml:space="preserve">a la demanda de CEPESCA de poner </w:t>
      </w:r>
      <w:r w:rsidR="0096656A">
        <w:rPr>
          <w:rFonts w:asciiTheme="minorHAnsi" w:hAnsiTheme="minorHAnsi" w:cs="Verdana"/>
        </w:rPr>
        <w:t>en marcha</w:t>
      </w:r>
      <w:r w:rsidR="00FB6B0D">
        <w:rPr>
          <w:rFonts w:asciiTheme="minorHAnsi" w:hAnsiTheme="minorHAnsi" w:cs="Verdana"/>
        </w:rPr>
        <w:t xml:space="preserve"> un plan de gestión para regular la pesca de las especies de tiburón tintorera y majarro dientuso en el Atl</w:t>
      </w:r>
      <w:r w:rsidR="0096656A">
        <w:rPr>
          <w:rFonts w:asciiTheme="minorHAnsi" w:hAnsiTheme="minorHAnsi" w:cs="Verdana"/>
        </w:rPr>
        <w:t xml:space="preserve">ántico Norte y el Atlántico Sur, del mismo </w:t>
      </w:r>
      <w:r w:rsidR="005C7307">
        <w:rPr>
          <w:rFonts w:asciiTheme="minorHAnsi" w:hAnsiTheme="minorHAnsi" w:cs="Verdana"/>
        </w:rPr>
        <w:t xml:space="preserve">modo </w:t>
      </w:r>
      <w:r w:rsidR="0096656A">
        <w:rPr>
          <w:rFonts w:asciiTheme="minorHAnsi" w:hAnsiTheme="minorHAnsi" w:cs="Verdana"/>
        </w:rPr>
        <w:t xml:space="preserve">que </w:t>
      </w:r>
      <w:r>
        <w:rPr>
          <w:rFonts w:asciiTheme="minorHAnsi" w:hAnsiTheme="minorHAnsi" w:cs="Verdana"/>
        </w:rPr>
        <w:t>no se ha logrado compromiso para la puesta en marcha de medidas, como el control de la pesca con redes de deriva y la determinación de un cambio de veda, para</w:t>
      </w:r>
      <w:r w:rsidR="0096656A">
        <w:rPr>
          <w:rFonts w:asciiTheme="minorHAnsi" w:hAnsiTheme="minorHAnsi" w:cs="Verdana"/>
        </w:rPr>
        <w:t xml:space="preserve"> </w:t>
      </w:r>
      <w:r>
        <w:rPr>
          <w:rFonts w:asciiTheme="minorHAnsi" w:hAnsiTheme="minorHAnsi" w:cs="Verdana"/>
        </w:rPr>
        <w:t xml:space="preserve">garantizar la sostenibilidad del </w:t>
      </w:r>
      <w:r w:rsidR="0096656A">
        <w:rPr>
          <w:rFonts w:asciiTheme="minorHAnsi" w:hAnsiTheme="minorHAnsi" w:cs="Verdana"/>
        </w:rPr>
        <w:t>pez espada en el Mediterráneo.</w:t>
      </w:r>
      <w:r w:rsidR="00FB6B0D">
        <w:rPr>
          <w:rFonts w:asciiTheme="minorHAnsi" w:hAnsiTheme="minorHAnsi" w:cs="Verdana"/>
        </w:rPr>
        <w:t xml:space="preserve"> </w:t>
      </w:r>
    </w:p>
    <w:p w14:paraId="6762D180" w14:textId="77777777" w:rsidR="00CA4F40" w:rsidRDefault="00CA4F40" w:rsidP="00CA4F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Verdana"/>
          <w:b/>
        </w:rPr>
      </w:pPr>
      <w:r>
        <w:rPr>
          <w:rFonts w:asciiTheme="minorHAnsi" w:hAnsiTheme="minorHAnsi" w:cs="Verdana"/>
          <w:b/>
        </w:rPr>
        <w:t>Pasividad</w:t>
      </w:r>
      <w:r w:rsidRPr="00CA4F40">
        <w:rPr>
          <w:rFonts w:asciiTheme="minorHAnsi" w:hAnsiTheme="minorHAnsi" w:cs="Verdana"/>
          <w:b/>
        </w:rPr>
        <w:t xml:space="preserve"> ante el finning asiático</w:t>
      </w:r>
    </w:p>
    <w:p w14:paraId="550C1987" w14:textId="0EFC893F" w:rsidR="00FB6B0D" w:rsidRDefault="00CA4F40" w:rsidP="00CA4F40">
      <w:pPr>
        <w:widowControl w:val="0"/>
        <w:autoSpaceDE w:val="0"/>
        <w:autoSpaceDN w:val="0"/>
        <w:adjustRightInd w:val="0"/>
        <w:jc w:val="both"/>
        <w:rPr>
          <w:rFonts w:asciiTheme="minorHAnsi" w:hAnsiTheme="minorHAnsi" w:cs="Verdana"/>
        </w:rPr>
      </w:pPr>
      <w:r>
        <w:rPr>
          <w:rFonts w:asciiTheme="minorHAnsi" w:hAnsiTheme="minorHAnsi" w:cs="Verdana"/>
        </w:rPr>
        <w:t>CEPESCA también</w:t>
      </w:r>
      <w:r w:rsidR="0096656A">
        <w:rPr>
          <w:rFonts w:asciiTheme="minorHAnsi" w:hAnsiTheme="minorHAnsi" w:cs="Verdana"/>
        </w:rPr>
        <w:t xml:space="preserve"> critica </w:t>
      </w:r>
      <w:r w:rsidR="00FB6B0D">
        <w:rPr>
          <w:rFonts w:asciiTheme="minorHAnsi" w:hAnsiTheme="minorHAnsi" w:cs="Verdana"/>
        </w:rPr>
        <w:t xml:space="preserve">la pasividad de </w:t>
      </w:r>
      <w:r w:rsidR="008F03D1">
        <w:rPr>
          <w:rFonts w:asciiTheme="minorHAnsi" w:hAnsiTheme="minorHAnsi" w:cs="Verdana"/>
        </w:rPr>
        <w:t xml:space="preserve">las partes contratantes de </w:t>
      </w:r>
      <w:r w:rsidR="00FB6B0D">
        <w:rPr>
          <w:rFonts w:asciiTheme="minorHAnsi" w:hAnsiTheme="minorHAnsi" w:cs="Verdana"/>
        </w:rPr>
        <w:t>ICCAT ante la propuesta de extender</w:t>
      </w:r>
      <w:r>
        <w:rPr>
          <w:rFonts w:asciiTheme="minorHAnsi" w:hAnsiTheme="minorHAnsi" w:cs="Verdana"/>
        </w:rPr>
        <w:t xml:space="preserve"> a todos los pa</w:t>
      </w:r>
      <w:r w:rsidR="0096656A">
        <w:rPr>
          <w:rFonts w:asciiTheme="minorHAnsi" w:hAnsiTheme="minorHAnsi" w:cs="Verdana"/>
        </w:rPr>
        <w:t xml:space="preserve">íses </w:t>
      </w:r>
      <w:r>
        <w:rPr>
          <w:rFonts w:asciiTheme="minorHAnsi" w:hAnsiTheme="minorHAnsi" w:cs="Verdana"/>
        </w:rPr>
        <w:t>la prohibici</w:t>
      </w:r>
      <w:r w:rsidR="00FB6B0D">
        <w:rPr>
          <w:rFonts w:asciiTheme="minorHAnsi" w:hAnsiTheme="minorHAnsi" w:cs="Verdana"/>
        </w:rPr>
        <w:t>ón del cercenamiento a bordo de las</w:t>
      </w:r>
      <w:r>
        <w:rPr>
          <w:rFonts w:asciiTheme="minorHAnsi" w:hAnsiTheme="minorHAnsi" w:cs="Verdana"/>
        </w:rPr>
        <w:t xml:space="preserve"> aletas de tiburón, una restricción que se aplica a la flota comunitaria de la UE </w:t>
      </w:r>
      <w:r w:rsidR="00C03651">
        <w:rPr>
          <w:rFonts w:asciiTheme="minorHAnsi" w:hAnsiTheme="minorHAnsi" w:cs="Verdana"/>
        </w:rPr>
        <w:t>desde 2013</w:t>
      </w:r>
      <w:r w:rsidR="00FB6B0D">
        <w:rPr>
          <w:rFonts w:asciiTheme="minorHAnsi" w:hAnsiTheme="minorHAnsi" w:cs="Verdana"/>
        </w:rPr>
        <w:t xml:space="preserve"> y que no afecta a los países que en realidad llevan a cabo esta práctica de forma sistemática.</w:t>
      </w:r>
    </w:p>
    <w:p w14:paraId="4C3C3DD0" w14:textId="77777777" w:rsidR="00FB6B0D" w:rsidRDefault="00FB6B0D" w:rsidP="00CA4F40">
      <w:pPr>
        <w:widowControl w:val="0"/>
        <w:autoSpaceDE w:val="0"/>
        <w:autoSpaceDN w:val="0"/>
        <w:adjustRightInd w:val="0"/>
        <w:jc w:val="both"/>
        <w:rPr>
          <w:rFonts w:asciiTheme="minorHAnsi" w:hAnsiTheme="minorHAnsi" w:cs="Verdana"/>
        </w:rPr>
      </w:pPr>
    </w:p>
    <w:p w14:paraId="26D2AC13" w14:textId="112425C3" w:rsidR="00345269" w:rsidRPr="00345269" w:rsidRDefault="00525333" w:rsidP="00525333">
      <w:pPr>
        <w:widowControl w:val="0"/>
        <w:autoSpaceDE w:val="0"/>
        <w:autoSpaceDN w:val="0"/>
        <w:adjustRightInd w:val="0"/>
        <w:spacing w:after="240"/>
        <w:jc w:val="both"/>
        <w:rPr>
          <w:rFonts w:asciiTheme="minorHAnsi" w:hAnsiTheme="minorHAnsi" w:cs="Verdana"/>
          <w:i/>
        </w:rPr>
      </w:pPr>
      <w:r>
        <w:rPr>
          <w:rFonts w:asciiTheme="minorHAnsi" w:hAnsiTheme="minorHAnsi" w:cs="Verdana"/>
        </w:rPr>
        <w:t>Según Javier Garat, secretario</w:t>
      </w:r>
      <w:r w:rsidRPr="00422AB4">
        <w:rPr>
          <w:rFonts w:asciiTheme="minorHAnsi" w:hAnsiTheme="minorHAnsi" w:cs="Verdana"/>
        </w:rPr>
        <w:t xml:space="preserve"> General de CEPESCA</w:t>
      </w:r>
      <w:r>
        <w:rPr>
          <w:rFonts w:asciiTheme="minorHAnsi" w:hAnsiTheme="minorHAnsi" w:cs="Verdana"/>
        </w:rPr>
        <w:t xml:space="preserve"> y</w:t>
      </w:r>
      <w:r w:rsidRPr="00422AB4">
        <w:rPr>
          <w:rFonts w:asciiTheme="minorHAnsi" w:hAnsiTheme="minorHAnsi" w:cs="Verdana"/>
        </w:rPr>
        <w:t xml:space="preserve"> presidente de Europêche</w:t>
      </w:r>
      <w:r>
        <w:rPr>
          <w:rFonts w:asciiTheme="minorHAnsi" w:hAnsiTheme="minorHAnsi" w:cs="Verdana"/>
        </w:rPr>
        <w:t xml:space="preserve">, </w:t>
      </w:r>
      <w:r w:rsidRPr="0096656A">
        <w:rPr>
          <w:rFonts w:asciiTheme="minorHAnsi" w:hAnsiTheme="minorHAnsi" w:cs="Verdana"/>
          <w:i/>
        </w:rPr>
        <w:t>“</w:t>
      </w:r>
      <w:r w:rsidR="0096656A" w:rsidRPr="0096656A">
        <w:rPr>
          <w:rFonts w:asciiTheme="minorHAnsi" w:hAnsiTheme="minorHAnsi" w:cs="Verdana"/>
          <w:i/>
        </w:rPr>
        <w:t>resulta frustrante la pasividad que ha</w:t>
      </w:r>
      <w:r w:rsidR="005C7307">
        <w:rPr>
          <w:rFonts w:asciiTheme="minorHAnsi" w:hAnsiTheme="minorHAnsi" w:cs="Verdana"/>
          <w:i/>
        </w:rPr>
        <w:t>n</w:t>
      </w:r>
      <w:r w:rsidR="0096656A" w:rsidRPr="0096656A">
        <w:rPr>
          <w:rFonts w:asciiTheme="minorHAnsi" w:hAnsiTheme="minorHAnsi" w:cs="Verdana"/>
          <w:i/>
        </w:rPr>
        <w:t xml:space="preserve"> demostrado </w:t>
      </w:r>
      <w:r w:rsidR="00345269">
        <w:rPr>
          <w:rFonts w:asciiTheme="minorHAnsi" w:hAnsiTheme="minorHAnsi" w:cs="Verdana"/>
          <w:i/>
        </w:rPr>
        <w:t xml:space="preserve">algunas partes contratantes de </w:t>
      </w:r>
      <w:r w:rsidR="0096656A" w:rsidRPr="0096656A">
        <w:rPr>
          <w:rFonts w:asciiTheme="minorHAnsi" w:hAnsiTheme="minorHAnsi" w:cs="Verdana"/>
          <w:i/>
        </w:rPr>
        <w:t>ICCAT</w:t>
      </w:r>
      <w:r w:rsidR="00345269">
        <w:rPr>
          <w:rFonts w:asciiTheme="minorHAnsi" w:hAnsiTheme="minorHAnsi" w:cs="Verdana"/>
          <w:i/>
        </w:rPr>
        <w:t xml:space="preserve">, en particular los países asiáticos y algunos estados costeros en desarrollo, que se han opuesto sistemáticamente a muchas de las propuestas de la UE que pretendían gestionar mejor las diferentes </w:t>
      </w:r>
      <w:r w:rsidR="005C7307">
        <w:rPr>
          <w:rFonts w:asciiTheme="minorHAnsi" w:hAnsiTheme="minorHAnsi" w:cs="Verdana"/>
          <w:i/>
        </w:rPr>
        <w:t>especies altamente migratorias e</w:t>
      </w:r>
      <w:r w:rsidR="00345269">
        <w:rPr>
          <w:rFonts w:asciiTheme="minorHAnsi" w:hAnsiTheme="minorHAnsi" w:cs="Verdana"/>
          <w:i/>
        </w:rPr>
        <w:t xml:space="preserve"> incrementar el control de las flotas de sus respectivos países</w:t>
      </w:r>
      <w:r w:rsidR="0096656A" w:rsidRPr="0096656A">
        <w:rPr>
          <w:rFonts w:asciiTheme="minorHAnsi" w:hAnsiTheme="minorHAnsi" w:cs="Verdana"/>
          <w:i/>
        </w:rPr>
        <w:t xml:space="preserve">”. </w:t>
      </w:r>
    </w:p>
    <w:bookmarkEnd w:id="0"/>
    <w:p w14:paraId="5AC5503C" w14:textId="10685D07" w:rsidR="00525333" w:rsidRDefault="00525333" w:rsidP="00525333">
      <w:pPr>
        <w:widowControl w:val="0"/>
        <w:autoSpaceDE w:val="0"/>
        <w:autoSpaceDN w:val="0"/>
        <w:adjustRightInd w:val="0"/>
        <w:jc w:val="both"/>
        <w:rPr>
          <w:rFonts w:asciiTheme="minorHAnsi" w:hAnsiTheme="minorHAnsi" w:cs="Verdana"/>
        </w:rPr>
      </w:pPr>
    </w:p>
    <w:p w14:paraId="0EC58EDE" w14:textId="77777777" w:rsidR="00345269" w:rsidRDefault="00345269" w:rsidP="00525333">
      <w:pPr>
        <w:widowControl w:val="0"/>
        <w:autoSpaceDE w:val="0"/>
        <w:autoSpaceDN w:val="0"/>
        <w:adjustRightInd w:val="0"/>
        <w:jc w:val="both"/>
        <w:rPr>
          <w:rFonts w:asciiTheme="minorHAnsi" w:hAnsiTheme="minorHAnsi" w:cs="Verdana"/>
        </w:rPr>
      </w:pPr>
    </w:p>
    <w:p w14:paraId="5EA3F2F3" w14:textId="77777777" w:rsidR="0096656A" w:rsidRDefault="0096656A" w:rsidP="00525333">
      <w:pPr>
        <w:widowControl w:val="0"/>
        <w:autoSpaceDE w:val="0"/>
        <w:autoSpaceDN w:val="0"/>
        <w:adjustRightInd w:val="0"/>
        <w:jc w:val="both"/>
        <w:rPr>
          <w:rFonts w:asciiTheme="minorHAnsi" w:hAnsiTheme="minorHAnsi" w:cs="Verdana"/>
        </w:rPr>
      </w:pPr>
    </w:p>
    <w:p w14:paraId="52AC365C" w14:textId="77777777" w:rsidR="00525333" w:rsidRPr="00037A0B" w:rsidRDefault="00525333" w:rsidP="00525333">
      <w:pPr>
        <w:widowControl w:val="0"/>
        <w:autoSpaceDE w:val="0"/>
        <w:autoSpaceDN w:val="0"/>
        <w:adjustRightInd w:val="0"/>
        <w:spacing w:after="240"/>
        <w:contextualSpacing/>
        <w:jc w:val="both"/>
        <w:rPr>
          <w:rFonts w:asciiTheme="minorHAnsi" w:hAnsiTheme="minorHAnsi" w:cs="Verdana"/>
          <w:lang w:val="es-ES"/>
        </w:rPr>
      </w:pPr>
      <w:r w:rsidRPr="002C3FE8">
        <w:rPr>
          <w:rFonts w:asciiTheme="minorHAnsi" w:hAnsiTheme="minorHAnsi" w:cs="Arial"/>
          <w:b/>
        </w:rPr>
        <w:t>Sobre CEPESCA</w:t>
      </w:r>
    </w:p>
    <w:p w14:paraId="33AE3858" w14:textId="77777777" w:rsidR="00525333" w:rsidRPr="00590772" w:rsidRDefault="00525333" w:rsidP="0052533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MS Mincho" w:hAnsiTheme="minorHAnsi" w:cs="Arial"/>
          <w:i/>
          <w:color w:val="auto"/>
          <w:sz w:val="20"/>
          <w:szCs w:val="20"/>
          <w:bdr w:val="none" w:sz="0" w:space="0" w:color="auto"/>
          <w:lang w:val="es-ES"/>
        </w:rPr>
      </w:pPr>
      <w:r w:rsidRPr="00590772">
        <w:rPr>
          <w:rFonts w:asciiTheme="minorHAnsi" w:eastAsia="MS Mincho" w:hAnsiTheme="minorHAnsi" w:cs="Arial"/>
          <w:i/>
          <w:color w:val="auto"/>
          <w:sz w:val="20"/>
          <w:szCs w:val="20"/>
          <w:bdr w:val="none" w:sz="0" w:space="0" w:color="auto"/>
          <w:lang w:val="es-ES"/>
        </w:rPr>
        <w:t xml:space="preserve">Cepesca es la organización empresarial de ámbito nacional más representativa de la Unión Europea y agrupa a 38 asociaciones de armadores de buques de pesca tanto de bajura como de altura, con 800 empresas pesqueras, 882 buques, cerca de 10.000 tripulantes y un tonelaje de arqueo de 225.227 GTs. Entre sus objetivos, la Confederación persigue mejorar la competitividad de las empresas pesqueras, apostar por la formación de las tripulaciones y el relevo generacional, promover el desarrollo de una pesca responsable y sostenible y luchar contra la pesca ilegal. Para conocer más, visita </w:t>
      </w:r>
      <w:hyperlink r:id="rId8" w:history="1">
        <w:r w:rsidRPr="00590772">
          <w:rPr>
            <w:rFonts w:asciiTheme="minorHAnsi" w:eastAsia="MS Mincho" w:hAnsiTheme="minorHAnsi" w:cs="Arial"/>
            <w:i/>
            <w:color w:val="0000FF"/>
            <w:sz w:val="20"/>
            <w:szCs w:val="20"/>
            <w:u w:val="single"/>
            <w:bdr w:val="none" w:sz="0" w:space="0" w:color="auto"/>
            <w:lang w:val="es-ES"/>
          </w:rPr>
          <w:t>www.cepesca.es</w:t>
        </w:r>
      </w:hyperlink>
    </w:p>
    <w:p w14:paraId="3DB46867" w14:textId="77777777" w:rsidR="00525333" w:rsidRDefault="00525333" w:rsidP="005253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MS Mincho" w:hAnsi="Arial" w:cs="Arial"/>
          <w:i/>
          <w:color w:val="auto"/>
          <w:sz w:val="22"/>
          <w:szCs w:val="22"/>
          <w:bdr w:val="none" w:sz="0" w:space="0" w:color="auto"/>
          <w:lang w:val="es-ES"/>
        </w:rPr>
      </w:pPr>
    </w:p>
    <w:p w14:paraId="4D16087D" w14:textId="77777777" w:rsidR="00525333" w:rsidRPr="00B32274" w:rsidRDefault="00525333" w:rsidP="005253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MS Mincho" w:hAnsi="Arial" w:cs="Arial"/>
          <w:i/>
          <w:color w:val="auto"/>
          <w:sz w:val="22"/>
          <w:szCs w:val="22"/>
          <w:bdr w:val="none" w:sz="0" w:space="0" w:color="auto"/>
          <w:lang w:val="es-ES"/>
        </w:rPr>
      </w:pPr>
      <w:r w:rsidRPr="00B32274">
        <w:rPr>
          <w:rFonts w:ascii="Arial" w:eastAsia="MS Mincho" w:hAnsi="Arial" w:cs="Arial"/>
          <w:i/>
          <w:color w:val="auto"/>
          <w:sz w:val="22"/>
          <w:szCs w:val="22"/>
          <w:bdr w:val="none" w:sz="0" w:space="0" w:color="auto"/>
          <w:lang w:val="es-ES"/>
        </w:rPr>
        <w:t>Para más información:</w:t>
      </w:r>
    </w:p>
    <w:p w14:paraId="615091C7" w14:textId="77777777" w:rsidR="00525333" w:rsidRPr="00B32274" w:rsidRDefault="00525333" w:rsidP="005253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7F7F7F"/>
          <w:sz w:val="22"/>
          <w:szCs w:val="22"/>
          <w:bdr w:val="none" w:sz="0" w:space="0" w:color="auto"/>
          <w:lang w:val="es-ES"/>
        </w:rPr>
      </w:pPr>
      <w:r w:rsidRPr="00B32274">
        <w:rPr>
          <w:rFonts w:ascii="Courier New" w:eastAsia="MS Mincho" w:hAnsi="Courier New" w:cs="Courier New"/>
          <w:b/>
          <w:color w:val="FF0000"/>
          <w:sz w:val="22"/>
          <w:szCs w:val="22"/>
          <w:bdr w:val="none" w:sz="0" w:space="0" w:color="auto"/>
          <w:lang w:val="es-ES"/>
        </w:rPr>
        <w:t>bdi</w:t>
      </w:r>
      <w:r w:rsidRPr="00B32274">
        <w:rPr>
          <w:rFonts w:ascii="Courier New" w:eastAsia="MS Mincho" w:hAnsi="Courier New" w:cs="Courier New"/>
          <w:b/>
          <w:color w:val="7F7F7F"/>
          <w:sz w:val="22"/>
          <w:szCs w:val="22"/>
          <w:bdr w:val="none" w:sz="0" w:space="0" w:color="auto"/>
          <w:lang w:val="es-ES"/>
        </w:rPr>
        <w:t>Comunicación</w:t>
      </w:r>
    </w:p>
    <w:p w14:paraId="6AF56E7C" w14:textId="77777777" w:rsidR="00525333" w:rsidRPr="00B32274" w:rsidRDefault="00525333" w:rsidP="005253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auto"/>
          <w:sz w:val="22"/>
          <w:szCs w:val="22"/>
          <w:bdr w:val="none" w:sz="0" w:space="0" w:color="auto"/>
          <w:lang w:val="es-ES"/>
        </w:rPr>
      </w:pPr>
      <w:r w:rsidRPr="00B32274">
        <w:rPr>
          <w:rFonts w:ascii="Courier New" w:eastAsia="MS Mincho" w:hAnsi="Courier New" w:cs="Courier New"/>
          <w:b/>
          <w:color w:val="auto"/>
          <w:sz w:val="22"/>
          <w:szCs w:val="22"/>
          <w:bdr w:val="none" w:sz="0" w:space="0" w:color="auto"/>
          <w:lang w:val="es-ES"/>
        </w:rPr>
        <w:t>Raquel López</w:t>
      </w:r>
    </w:p>
    <w:p w14:paraId="649C7A2A" w14:textId="77777777" w:rsidR="00525333" w:rsidRPr="00B32274" w:rsidRDefault="00BA05F3" w:rsidP="005253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auto"/>
          <w:sz w:val="22"/>
          <w:szCs w:val="22"/>
          <w:bdr w:val="none" w:sz="0" w:space="0" w:color="auto"/>
          <w:lang w:val="es-ES"/>
        </w:rPr>
      </w:pPr>
      <w:hyperlink r:id="rId9" w:history="1">
        <w:r w:rsidR="00525333" w:rsidRPr="00B32274">
          <w:rPr>
            <w:rStyle w:val="Hipervnculo"/>
            <w:rFonts w:ascii="Courier New" w:eastAsia="MS Mincho" w:hAnsi="Courier New" w:cs="Courier New"/>
            <w:b/>
            <w:sz w:val="22"/>
            <w:szCs w:val="22"/>
            <w:bdr w:val="none" w:sz="0" w:space="0" w:color="auto"/>
            <w:lang w:val="es-ES"/>
          </w:rPr>
          <w:t>raquel@bdicomunicacion.com</w:t>
        </w:r>
      </w:hyperlink>
    </w:p>
    <w:p w14:paraId="6207857B" w14:textId="77777777" w:rsidR="00525333" w:rsidRPr="00CC0948" w:rsidRDefault="00525333" w:rsidP="005253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auto"/>
          <w:sz w:val="22"/>
          <w:szCs w:val="22"/>
          <w:bdr w:val="none" w:sz="0" w:space="0" w:color="auto"/>
          <w:lang w:val="it-IT"/>
        </w:rPr>
      </w:pPr>
      <w:r w:rsidRPr="00CC0948">
        <w:rPr>
          <w:rFonts w:ascii="Courier New" w:eastAsia="MS Mincho" w:hAnsi="Courier New" w:cs="Courier New"/>
          <w:b/>
          <w:color w:val="auto"/>
          <w:sz w:val="22"/>
          <w:szCs w:val="22"/>
          <w:bdr w:val="none" w:sz="0" w:space="0" w:color="auto"/>
          <w:lang w:val="it-IT"/>
        </w:rPr>
        <w:t>Lola Sánchez-Manjavacas</w:t>
      </w:r>
    </w:p>
    <w:p w14:paraId="5598B2EC" w14:textId="77777777" w:rsidR="00525333" w:rsidRPr="00CC0948" w:rsidRDefault="00BA05F3" w:rsidP="005253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auto"/>
          <w:sz w:val="22"/>
          <w:szCs w:val="22"/>
          <w:bdr w:val="none" w:sz="0" w:space="0" w:color="auto"/>
          <w:lang w:val="it-IT"/>
        </w:rPr>
      </w:pPr>
      <w:hyperlink r:id="rId10" w:history="1">
        <w:r w:rsidR="00525333" w:rsidRPr="00CC0948">
          <w:rPr>
            <w:rStyle w:val="Hipervnculo"/>
            <w:rFonts w:ascii="Courier New" w:eastAsia="MS Mincho" w:hAnsi="Courier New" w:cs="Courier New"/>
            <w:b/>
            <w:sz w:val="22"/>
            <w:szCs w:val="22"/>
            <w:bdr w:val="none" w:sz="0" w:space="0" w:color="auto"/>
            <w:lang w:val="it-IT"/>
          </w:rPr>
          <w:t>lola@bdicomunicacion.com</w:t>
        </w:r>
      </w:hyperlink>
    </w:p>
    <w:p w14:paraId="5E14EF82" w14:textId="77777777" w:rsidR="00525333" w:rsidRPr="00DE3627" w:rsidRDefault="00525333" w:rsidP="005253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auto"/>
          <w:sz w:val="22"/>
          <w:szCs w:val="22"/>
          <w:bdr w:val="none" w:sz="0" w:space="0" w:color="auto"/>
          <w:lang w:val="pt-PT"/>
        </w:rPr>
      </w:pPr>
      <w:r w:rsidRPr="00DE3627">
        <w:rPr>
          <w:rFonts w:ascii="Courier New" w:eastAsia="MS Mincho" w:hAnsi="Courier New" w:cs="Courier New"/>
          <w:b/>
          <w:color w:val="auto"/>
          <w:sz w:val="22"/>
          <w:szCs w:val="22"/>
          <w:bdr w:val="none" w:sz="0" w:space="0" w:color="auto"/>
          <w:lang w:val="pt-PT"/>
        </w:rPr>
        <w:t>Eugenio Sanz</w:t>
      </w:r>
    </w:p>
    <w:p w14:paraId="64353E05" w14:textId="77777777" w:rsidR="00525333" w:rsidRPr="00DE3627" w:rsidRDefault="00BA05F3" w:rsidP="005253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auto"/>
          <w:sz w:val="22"/>
          <w:szCs w:val="22"/>
          <w:bdr w:val="none" w:sz="0" w:space="0" w:color="auto"/>
          <w:lang w:val="pt-PT"/>
        </w:rPr>
      </w:pPr>
      <w:hyperlink r:id="rId11" w:history="1">
        <w:r w:rsidR="00525333" w:rsidRPr="00DE3627">
          <w:rPr>
            <w:rStyle w:val="Hipervnculo"/>
            <w:rFonts w:ascii="Courier New" w:eastAsia="MS Mincho" w:hAnsi="Courier New" w:cs="Courier New"/>
            <w:b/>
            <w:sz w:val="22"/>
            <w:szCs w:val="22"/>
            <w:bdr w:val="none" w:sz="0" w:space="0" w:color="auto"/>
            <w:lang w:val="pt-PT"/>
          </w:rPr>
          <w:t>eugenio@bdicomunicacion.com</w:t>
        </w:r>
      </w:hyperlink>
    </w:p>
    <w:p w14:paraId="69991FF4" w14:textId="77777777" w:rsidR="00525333" w:rsidRPr="00DE3627" w:rsidRDefault="00525333" w:rsidP="005253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auto"/>
          <w:sz w:val="22"/>
          <w:szCs w:val="22"/>
          <w:bdr w:val="none" w:sz="0" w:space="0" w:color="auto"/>
          <w:lang w:val="pt-PT"/>
        </w:rPr>
      </w:pPr>
      <w:r w:rsidRPr="00DE3627">
        <w:rPr>
          <w:rFonts w:ascii="Courier New" w:eastAsia="MS Mincho" w:hAnsi="Courier New" w:cs="Courier New"/>
          <w:b/>
          <w:color w:val="auto"/>
          <w:sz w:val="22"/>
          <w:szCs w:val="22"/>
          <w:bdr w:val="none" w:sz="0" w:space="0" w:color="auto"/>
          <w:lang w:val="pt-PT"/>
        </w:rPr>
        <w:t>913604610</w:t>
      </w:r>
    </w:p>
    <w:p w14:paraId="326BC130" w14:textId="77777777" w:rsidR="00525333" w:rsidRPr="00DE3627" w:rsidRDefault="00525333" w:rsidP="005253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urier New" w:eastAsia="MS Mincho" w:hAnsi="Courier New" w:cs="Courier New"/>
          <w:b/>
          <w:color w:val="auto"/>
          <w:sz w:val="22"/>
          <w:szCs w:val="22"/>
          <w:bdr w:val="none" w:sz="0" w:space="0" w:color="auto"/>
          <w:lang w:val="pt-PT"/>
        </w:rPr>
      </w:pPr>
      <w:r w:rsidRPr="00DE3627">
        <w:rPr>
          <w:rFonts w:ascii="Courier New" w:eastAsia="MS Mincho" w:hAnsi="Courier New" w:cs="Courier New"/>
          <w:b/>
          <w:color w:val="auto"/>
          <w:sz w:val="22"/>
          <w:szCs w:val="22"/>
          <w:bdr w:val="none" w:sz="0" w:space="0" w:color="auto"/>
          <w:lang w:val="pt-PT"/>
        </w:rPr>
        <w:t>Sara Ribas</w:t>
      </w:r>
    </w:p>
    <w:p w14:paraId="6ADF1757" w14:textId="77777777" w:rsidR="00525333" w:rsidRPr="00CC0948" w:rsidRDefault="00BA05F3" w:rsidP="00525333">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Courier New" w:eastAsia="MS Mincho" w:hAnsi="Courier New" w:cs="Courier New"/>
          <w:b/>
          <w:color w:val="auto"/>
          <w:sz w:val="22"/>
          <w:szCs w:val="22"/>
          <w:bdr w:val="none" w:sz="0" w:space="0" w:color="auto"/>
          <w:lang w:val="pt-PT"/>
        </w:rPr>
      </w:pPr>
      <w:hyperlink r:id="rId12" w:history="1">
        <w:r w:rsidR="00525333" w:rsidRPr="00CC0948">
          <w:rPr>
            <w:rStyle w:val="Hipervnculo"/>
            <w:rFonts w:ascii="Courier New" w:eastAsia="MS Mincho" w:hAnsi="Courier New" w:cs="Courier New"/>
            <w:b/>
            <w:sz w:val="22"/>
            <w:szCs w:val="22"/>
            <w:bdr w:val="none" w:sz="0" w:space="0" w:color="auto"/>
            <w:lang w:val="pt-PT"/>
          </w:rPr>
          <w:t>comunicacion@cepesca.es</w:t>
        </w:r>
      </w:hyperlink>
    </w:p>
    <w:p w14:paraId="0B8F5AB2" w14:textId="77777777" w:rsidR="00525333" w:rsidRPr="00590772" w:rsidRDefault="00525333" w:rsidP="00525333">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Courier New" w:eastAsia="MS Mincho" w:hAnsi="Courier New" w:cs="Courier New"/>
          <w:b/>
          <w:color w:val="auto"/>
          <w:sz w:val="22"/>
          <w:szCs w:val="22"/>
          <w:bdr w:val="none" w:sz="0" w:space="0" w:color="auto"/>
          <w:lang w:val="es-ES"/>
        </w:rPr>
      </w:pPr>
      <w:r w:rsidRPr="00B32274">
        <w:rPr>
          <w:rFonts w:ascii="Courier New" w:hAnsi="Courier New" w:cs="Courier New"/>
          <w:b/>
          <w:color w:val="auto"/>
          <w:sz w:val="22"/>
          <w:szCs w:val="22"/>
          <w:lang w:eastAsia="es-ES"/>
        </w:rPr>
        <w:t>914323489</w:t>
      </w:r>
    </w:p>
    <w:p w14:paraId="15971C55" w14:textId="77777777" w:rsidR="00CD2AC7" w:rsidRPr="00525333" w:rsidRDefault="00BA05F3">
      <w:pPr>
        <w:rPr>
          <w:lang w:val="es-ES"/>
        </w:rPr>
      </w:pPr>
    </w:p>
    <w:sectPr w:rsidR="00CD2AC7" w:rsidRPr="00525333" w:rsidSect="0012411C">
      <w:headerReference w:type="default" r:id="rId13"/>
      <w:footerReference w:type="default" r:id="rId14"/>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BDA21" w14:textId="77777777" w:rsidR="00BA05F3" w:rsidRDefault="00BA05F3">
      <w:r>
        <w:separator/>
      </w:r>
    </w:p>
  </w:endnote>
  <w:endnote w:type="continuationSeparator" w:id="0">
    <w:p w14:paraId="7F509DBE" w14:textId="77777777" w:rsidR="00BA05F3" w:rsidRDefault="00BA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8F36" w14:textId="7E05E7DD" w:rsidR="00037A0B" w:rsidRDefault="009579E8" w:rsidP="009D6119">
    <w:pPr>
      <w:pStyle w:val="Piedepgina"/>
      <w:tabs>
        <w:tab w:val="clear" w:pos="8504"/>
        <w:tab w:val="right" w:pos="8478"/>
      </w:tabs>
      <w:jc w:val="right"/>
    </w:pPr>
    <w:r>
      <w:fldChar w:fldCharType="begin"/>
    </w:r>
    <w:r>
      <w:instrText xml:space="preserve"> PAGE </w:instrText>
    </w:r>
    <w:r>
      <w:fldChar w:fldCharType="separate"/>
    </w:r>
    <w:r w:rsidR="006A5299">
      <w:rPr>
        <w:noProof/>
      </w:rPr>
      <w:t>2</w:t>
    </w:r>
    <w:r>
      <w:fldChar w:fldCharType="end"/>
    </w:r>
  </w:p>
  <w:p w14:paraId="4409E44E" w14:textId="77777777" w:rsidR="00037A0B" w:rsidRPr="007F475F" w:rsidRDefault="009579E8" w:rsidP="009D6119">
    <w:pPr>
      <w:pStyle w:val="Piedepgina"/>
      <w:tabs>
        <w:tab w:val="clear" w:pos="4252"/>
        <w:tab w:val="clear" w:pos="8504"/>
        <w:tab w:val="center" w:pos="1048"/>
        <w:tab w:val="right" w:pos="1278"/>
      </w:tabs>
      <w:rPr>
        <w:rFonts w:ascii="Arial" w:eastAsia="Arial" w:hAnsi="Arial" w:cs="Arial"/>
        <w:sz w:val="18"/>
        <w:szCs w:val="18"/>
      </w:rPr>
    </w:pPr>
    <w:r w:rsidRPr="007F475F">
      <w:rPr>
        <w:rFonts w:ascii="Arial" w:hAnsi="Arial" w:cs="Arial"/>
        <w:sz w:val="18"/>
        <w:szCs w:val="18"/>
      </w:rPr>
      <w:t>Confederación Española de Pesca (Cepesca)</w:t>
    </w:r>
  </w:p>
  <w:p w14:paraId="4A886E6F" w14:textId="77777777" w:rsidR="00037A0B" w:rsidRPr="00427A2F" w:rsidRDefault="009579E8" w:rsidP="009D6119">
    <w:pPr>
      <w:pStyle w:val="Piedepgina"/>
      <w:tabs>
        <w:tab w:val="clear" w:pos="4252"/>
        <w:tab w:val="clear" w:pos="8504"/>
        <w:tab w:val="center" w:pos="1048"/>
        <w:tab w:val="right" w:pos="1278"/>
      </w:tabs>
      <w:rPr>
        <w:rFonts w:ascii="Arial" w:eastAsia="Arial" w:hAnsi="Arial" w:cs="Arial"/>
        <w:sz w:val="18"/>
        <w:szCs w:val="18"/>
        <w:lang w:val="en-US"/>
      </w:rPr>
    </w:pPr>
    <w:r w:rsidRPr="00427A2F">
      <w:rPr>
        <w:rFonts w:ascii="Arial" w:hAnsi="Arial" w:cs="Arial"/>
        <w:sz w:val="18"/>
        <w:szCs w:val="18"/>
        <w:lang w:val="en-US"/>
      </w:rPr>
      <w:t>C/Doctor Fleming nº 7 28036 Madrid</w:t>
    </w:r>
  </w:p>
  <w:p w14:paraId="6F0179F4" w14:textId="77777777" w:rsidR="00037A0B" w:rsidRPr="00427A2F" w:rsidRDefault="009579E8" w:rsidP="009D6119">
    <w:pPr>
      <w:pStyle w:val="Piedepgina"/>
      <w:tabs>
        <w:tab w:val="clear" w:pos="8504"/>
        <w:tab w:val="right" w:pos="8478"/>
      </w:tabs>
      <w:rPr>
        <w:rFonts w:ascii="Arial" w:hAnsi="Arial" w:cs="Arial"/>
        <w:sz w:val="18"/>
        <w:szCs w:val="18"/>
        <w:lang w:val="en-US"/>
      </w:rPr>
    </w:pPr>
    <w:r w:rsidRPr="00427A2F">
      <w:rPr>
        <w:rFonts w:ascii="Arial" w:hAnsi="Arial" w:cs="Arial"/>
        <w:sz w:val="18"/>
        <w:szCs w:val="18"/>
        <w:lang w:val="en-US"/>
      </w:rPr>
      <w:t xml:space="preserve">Twitter: </w:t>
    </w:r>
    <w:r w:rsidRPr="00427A2F">
      <w:rPr>
        <w:rFonts w:ascii="Arial" w:hAnsi="Arial" w:cs="Arial"/>
        <w:color w:val="242EF8"/>
        <w:sz w:val="18"/>
        <w:szCs w:val="18"/>
        <w:lang w:val="en-US"/>
      </w:rPr>
      <w:t>@CEPESCA</w:t>
    </w:r>
  </w:p>
  <w:p w14:paraId="26B0797B" w14:textId="77777777" w:rsidR="00037A0B" w:rsidRPr="00DE3627" w:rsidRDefault="009579E8" w:rsidP="009D6119">
    <w:pPr>
      <w:pStyle w:val="Piedepgina"/>
      <w:tabs>
        <w:tab w:val="clear" w:pos="8504"/>
        <w:tab w:val="right" w:pos="8478"/>
      </w:tabs>
      <w:rPr>
        <w:rFonts w:ascii="Arial" w:hAnsi="Arial" w:cs="Arial"/>
        <w:color w:val="242EF8"/>
        <w:sz w:val="18"/>
        <w:szCs w:val="18"/>
        <w:lang w:val="pt-PT"/>
      </w:rPr>
    </w:pPr>
    <w:r w:rsidRPr="00DE3627">
      <w:rPr>
        <w:rFonts w:ascii="Arial" w:hAnsi="Arial" w:cs="Arial"/>
        <w:sz w:val="18"/>
        <w:szCs w:val="18"/>
        <w:lang w:val="pt-PT"/>
      </w:rPr>
      <w:t xml:space="preserve">Facebook: </w:t>
    </w:r>
    <w:r w:rsidRPr="00DE3627">
      <w:rPr>
        <w:rFonts w:ascii="Arial" w:hAnsi="Arial" w:cs="Arial"/>
        <w:color w:val="242EF8"/>
        <w:sz w:val="18"/>
        <w:szCs w:val="18"/>
        <w:lang w:val="pt-PT"/>
      </w:rPr>
      <w:t xml:space="preserve">Cepesca Pesca </w:t>
    </w:r>
  </w:p>
  <w:p w14:paraId="5B3136A1" w14:textId="77777777" w:rsidR="00037A0B" w:rsidRPr="00DE3627" w:rsidRDefault="009579E8" w:rsidP="009D6119">
    <w:pPr>
      <w:pStyle w:val="Piedepgina"/>
      <w:tabs>
        <w:tab w:val="clear" w:pos="8504"/>
        <w:tab w:val="right" w:pos="8478"/>
      </w:tabs>
      <w:rPr>
        <w:rFonts w:ascii="Arial" w:eastAsia="Arial" w:hAnsi="Arial" w:cs="Arial"/>
        <w:color w:val="242EF8"/>
        <w:sz w:val="18"/>
        <w:szCs w:val="18"/>
        <w:lang w:val="pt-PT"/>
      </w:rPr>
    </w:pPr>
    <w:r w:rsidRPr="00DE3627">
      <w:rPr>
        <w:rFonts w:ascii="Arial" w:eastAsia="Arial" w:hAnsi="Arial" w:cs="Arial"/>
        <w:color w:val="242EF8"/>
        <w:sz w:val="18"/>
        <w:szCs w:val="18"/>
        <w:lang w:val="pt-PT"/>
      </w:rPr>
      <w:t>www.cepesca.es</w:t>
    </w:r>
  </w:p>
  <w:p w14:paraId="0A099B41" w14:textId="77777777" w:rsidR="00037A0B" w:rsidRPr="00DE3627" w:rsidRDefault="00BA05F3">
    <w:pPr>
      <w:pStyle w:val="Piedepgina"/>
      <w:tabs>
        <w:tab w:val="clear" w:pos="8504"/>
        <w:tab w:val="right" w:pos="8478"/>
      </w:tabs>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287FF" w14:textId="77777777" w:rsidR="00BA05F3" w:rsidRDefault="00BA05F3">
      <w:r>
        <w:separator/>
      </w:r>
    </w:p>
  </w:footnote>
  <w:footnote w:type="continuationSeparator" w:id="0">
    <w:p w14:paraId="6BDD7E5E" w14:textId="77777777" w:rsidR="00BA05F3" w:rsidRDefault="00BA0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C104E" w14:textId="77777777" w:rsidR="001F028F" w:rsidRDefault="00BA05F3">
    <w:pPr>
      <w:pStyle w:val="Encabezado"/>
      <w:tabs>
        <w:tab w:val="clear" w:pos="4252"/>
        <w:tab w:val="clear" w:pos="8504"/>
        <w:tab w:val="center" w:pos="1048"/>
        <w:tab w:val="right" w:pos="1278"/>
      </w:tabs>
      <w:ind w:right="360"/>
    </w:pPr>
  </w:p>
  <w:p w14:paraId="1C8A7B98" w14:textId="77777777" w:rsidR="001F028F" w:rsidRDefault="00BA05F3">
    <w:pPr>
      <w:pStyle w:val="Encabezado"/>
      <w:tabs>
        <w:tab w:val="clear" w:pos="4252"/>
        <w:tab w:val="clear" w:pos="8504"/>
        <w:tab w:val="center" w:pos="1048"/>
        <w:tab w:val="right" w:pos="1278"/>
      </w:tabs>
      <w:ind w:right="360"/>
    </w:pPr>
  </w:p>
  <w:p w14:paraId="07B4486B" w14:textId="77777777" w:rsidR="001F028F" w:rsidRDefault="00BA05F3">
    <w:pPr>
      <w:pStyle w:val="Encabezado"/>
      <w:tabs>
        <w:tab w:val="clear" w:pos="4252"/>
        <w:tab w:val="clear" w:pos="8504"/>
        <w:tab w:val="center" w:pos="1048"/>
        <w:tab w:val="right" w:pos="1278"/>
      </w:tabs>
      <w:ind w:right="360"/>
    </w:pPr>
  </w:p>
  <w:p w14:paraId="2A4AEE50" w14:textId="77777777" w:rsidR="00037A0B" w:rsidRDefault="009579E8">
    <w:pPr>
      <w:pStyle w:val="Encabezado"/>
      <w:tabs>
        <w:tab w:val="clear" w:pos="4252"/>
        <w:tab w:val="clear" w:pos="8504"/>
        <w:tab w:val="center" w:pos="1048"/>
        <w:tab w:val="right" w:pos="1278"/>
      </w:tabs>
      <w:ind w:right="360"/>
    </w:pPr>
    <w:r>
      <w:rPr>
        <w:noProof/>
        <w:bdr w:val="none" w:sz="0" w:space="0" w:color="auto"/>
        <w:lang w:val="es-ES"/>
      </w:rPr>
      <w:drawing>
        <wp:anchor distT="152400" distB="152400" distL="152400" distR="152400" simplePos="0" relativeHeight="251659264" behindDoc="1" locked="0" layoutInCell="1" allowOverlap="1" wp14:anchorId="053B0D27" wp14:editId="457446AB">
          <wp:simplePos x="0" y="0"/>
          <wp:positionH relativeFrom="page">
            <wp:posOffset>4467225</wp:posOffset>
          </wp:positionH>
          <wp:positionV relativeFrom="page">
            <wp:posOffset>182880</wp:posOffset>
          </wp:positionV>
          <wp:extent cx="1985010" cy="7289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10" cy="7289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D450E"/>
    <w:multiLevelType w:val="hybridMultilevel"/>
    <w:tmpl w:val="BE185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33"/>
    <w:rsid w:val="00211146"/>
    <w:rsid w:val="002F1C27"/>
    <w:rsid w:val="00336CEB"/>
    <w:rsid w:val="00345269"/>
    <w:rsid w:val="004B18AF"/>
    <w:rsid w:val="00525333"/>
    <w:rsid w:val="005C7307"/>
    <w:rsid w:val="00684C54"/>
    <w:rsid w:val="006A5299"/>
    <w:rsid w:val="006C2F6C"/>
    <w:rsid w:val="007C3CEA"/>
    <w:rsid w:val="00841438"/>
    <w:rsid w:val="008F03D1"/>
    <w:rsid w:val="009579E8"/>
    <w:rsid w:val="0096656A"/>
    <w:rsid w:val="009D3CC6"/>
    <w:rsid w:val="00AF0474"/>
    <w:rsid w:val="00BA05F3"/>
    <w:rsid w:val="00C03651"/>
    <w:rsid w:val="00C34315"/>
    <w:rsid w:val="00CA4F40"/>
    <w:rsid w:val="00CF203E"/>
    <w:rsid w:val="00FB6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6E79"/>
  <w15:chartTrackingRefBased/>
  <w15:docId w15:val="{D6AB430C-8705-4C03-A793-746C81E3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3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25333"/>
    <w:rPr>
      <w:u w:val="single"/>
    </w:rPr>
  </w:style>
  <w:style w:type="paragraph" w:styleId="Encabezado">
    <w:name w:val="header"/>
    <w:link w:val="EncabezadoCar"/>
    <w:rsid w:val="00525333"/>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EncabezadoCar">
    <w:name w:val="Encabezado Car"/>
    <w:basedOn w:val="Fuentedeprrafopredeter"/>
    <w:link w:val="Encabezado"/>
    <w:rsid w:val="00525333"/>
    <w:rPr>
      <w:rFonts w:ascii="Times New Roman" w:eastAsia="Arial Unicode MS" w:hAnsi="Arial Unicode MS" w:cs="Arial Unicode MS"/>
      <w:color w:val="000000"/>
      <w:sz w:val="24"/>
      <w:szCs w:val="24"/>
      <w:u w:color="000000"/>
      <w:bdr w:val="nil"/>
      <w:lang w:val="es-ES_tradnl" w:eastAsia="es-ES"/>
    </w:rPr>
  </w:style>
  <w:style w:type="paragraph" w:styleId="Piedepgina">
    <w:name w:val="footer"/>
    <w:link w:val="PiedepginaCar"/>
    <w:uiPriority w:val="99"/>
    <w:rsid w:val="00525333"/>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Times New Roman"/>
      <w:color w:val="000000"/>
      <w:sz w:val="24"/>
      <w:szCs w:val="24"/>
      <w:u w:color="000000"/>
      <w:bdr w:val="nil"/>
      <w:lang w:eastAsia="es-ES"/>
    </w:rPr>
  </w:style>
  <w:style w:type="character" w:customStyle="1" w:styleId="PiedepginaCar">
    <w:name w:val="Pie de página Car"/>
    <w:basedOn w:val="Fuentedeprrafopredeter"/>
    <w:link w:val="Piedepgina"/>
    <w:uiPriority w:val="99"/>
    <w:rsid w:val="00525333"/>
    <w:rPr>
      <w:rFonts w:ascii="Times New Roman" w:eastAsia="Arial Unicode MS" w:hAnsi="Arial Unicode MS" w:cs="Times New Roman"/>
      <w:color w:val="000000"/>
      <w:sz w:val="24"/>
      <w:szCs w:val="24"/>
      <w:u w:color="000000"/>
      <w:bdr w:val="nil"/>
      <w:lang w:eastAsia="es-ES"/>
    </w:rPr>
  </w:style>
  <w:style w:type="paragraph" w:customStyle="1" w:styleId="Sinespaciado1">
    <w:name w:val="Sin espaciado1"/>
    <w:uiPriority w:val="1"/>
    <w:qFormat/>
    <w:rsid w:val="0052533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paragraph" w:styleId="Prrafodelista">
    <w:name w:val="List Paragraph"/>
    <w:basedOn w:val="Normal"/>
    <w:uiPriority w:val="34"/>
    <w:qFormat/>
    <w:rsid w:val="00525333"/>
    <w:pPr>
      <w:ind w:left="720"/>
      <w:contextualSpacing/>
    </w:pPr>
  </w:style>
  <w:style w:type="character" w:customStyle="1" w:styleId="apple-converted-space">
    <w:name w:val="apple-converted-space"/>
    <w:basedOn w:val="Fuentedeprrafopredeter"/>
    <w:rsid w:val="00525333"/>
  </w:style>
  <w:style w:type="character" w:customStyle="1" w:styleId="bumpedfont15">
    <w:name w:val="bumpedfont15"/>
    <w:basedOn w:val="Fuentedeprrafopredeter"/>
    <w:rsid w:val="0034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esca.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pesca.es/" TargetMode="External"/><Relationship Id="rId12" Type="http://schemas.openxmlformats.org/officeDocument/2006/relationships/hyperlink" Target="mailto:comunicacion@cepesc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genio@bdicomunicac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ola@bdicomunicacion.com" TargetMode="External"/><Relationship Id="rId4" Type="http://schemas.openxmlformats.org/officeDocument/2006/relationships/webSettings" Target="webSettings.xml"/><Relationship Id="rId9" Type="http://schemas.openxmlformats.org/officeDocument/2006/relationships/hyperlink" Target="mailto:raquel@bdicomunicac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2015-11-19T10:55:00Z</dcterms:created>
  <dcterms:modified xsi:type="dcterms:W3CDTF">2015-11-19T10:55:00Z</dcterms:modified>
</cp:coreProperties>
</file>