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11A2E" w14:textId="77777777" w:rsidR="00322C89" w:rsidRDefault="00322C89">
      <w:pPr>
        <w:rPr>
          <w:b/>
          <w:u w:val="single"/>
        </w:rPr>
      </w:pPr>
      <w:r>
        <w:rPr>
          <w:b/>
          <w:noProof/>
          <w:u w:val="single"/>
          <w:lang w:eastAsia="es-ES"/>
        </w:rPr>
        <w:drawing>
          <wp:anchor distT="0" distB="0" distL="114300" distR="114300" simplePos="0" relativeHeight="251659264" behindDoc="0" locked="0" layoutInCell="1" allowOverlap="1" wp14:anchorId="198E99F8" wp14:editId="0EB58980">
            <wp:simplePos x="0" y="0"/>
            <wp:positionH relativeFrom="margin">
              <wp:align>left</wp:align>
            </wp:positionH>
            <wp:positionV relativeFrom="paragraph">
              <wp:posOffset>0</wp:posOffset>
            </wp:positionV>
            <wp:extent cx="1857375" cy="626214"/>
            <wp:effectExtent l="0" t="0" r="0" b="254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6262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66345F" w14:textId="77777777" w:rsidR="0010255A" w:rsidRDefault="0010255A" w:rsidP="00647606">
      <w:pPr>
        <w:rPr>
          <w:b/>
          <w:u w:val="single"/>
        </w:rPr>
      </w:pPr>
    </w:p>
    <w:p w14:paraId="71F3FC4C" w14:textId="03D3B053" w:rsidR="0010255A" w:rsidRPr="00647606" w:rsidRDefault="00106943" w:rsidP="00322C89">
      <w:pPr>
        <w:jc w:val="center"/>
        <w:rPr>
          <w:b/>
        </w:rPr>
      </w:pPr>
      <w:r>
        <w:rPr>
          <w:b/>
        </w:rPr>
        <w:t>Los ministros de P</w:t>
      </w:r>
      <w:r w:rsidR="0010255A" w:rsidRPr="00647606">
        <w:rPr>
          <w:b/>
        </w:rPr>
        <w:t xml:space="preserve">esca de la UE se reúnen el próximo lunes para fijar las cuotas de capturas de la flota europea en 2017 </w:t>
      </w:r>
    </w:p>
    <w:p w14:paraId="3822DD01" w14:textId="77777777" w:rsidR="0010255A" w:rsidRPr="00647606" w:rsidRDefault="0010255A" w:rsidP="00322C89">
      <w:pPr>
        <w:jc w:val="center"/>
        <w:rPr>
          <w:b/>
        </w:rPr>
      </w:pPr>
      <w:bookmarkStart w:id="0" w:name="_GoBack"/>
      <w:r w:rsidRPr="00647606">
        <w:rPr>
          <w:b/>
        </w:rPr>
        <w:t>CESPESCA MANIFIESTA SU INQUIETUD ANTE LA PROPUESTA DE LA COMISIÓN EUROPEA QUE ABOGA POR RE</w:t>
      </w:r>
      <w:r w:rsidR="00647606">
        <w:rPr>
          <w:b/>
        </w:rPr>
        <w:t>STRICCIONES POR ENCIMA DE LA RE</w:t>
      </w:r>
      <w:r w:rsidRPr="00647606">
        <w:rPr>
          <w:b/>
        </w:rPr>
        <w:t>C</w:t>
      </w:r>
      <w:r w:rsidR="00647606">
        <w:rPr>
          <w:b/>
        </w:rPr>
        <w:t>O</w:t>
      </w:r>
      <w:r w:rsidRPr="00647606">
        <w:rPr>
          <w:b/>
        </w:rPr>
        <w:t>MENDACIÓN DE LOS CIENTÍFICOS</w:t>
      </w:r>
    </w:p>
    <w:bookmarkEnd w:id="0"/>
    <w:p w14:paraId="65EFDE9B" w14:textId="77777777" w:rsidR="00150749" w:rsidRDefault="00150749" w:rsidP="00661F97">
      <w:pPr>
        <w:jc w:val="both"/>
        <w:rPr>
          <w:b/>
          <w:u w:val="single"/>
        </w:rPr>
      </w:pPr>
    </w:p>
    <w:p w14:paraId="117594A2" w14:textId="729633B4" w:rsidR="00DC5450" w:rsidRDefault="0010255A" w:rsidP="00661F97">
      <w:pPr>
        <w:jc w:val="both"/>
      </w:pPr>
      <w:r w:rsidRPr="000B594D">
        <w:rPr>
          <w:u w:val="single"/>
        </w:rPr>
        <w:t>Madrid, 9 de diciembre de 2017</w:t>
      </w:r>
      <w:r>
        <w:t xml:space="preserve">.- </w:t>
      </w:r>
      <w:r w:rsidR="0038351A">
        <w:t xml:space="preserve">La </w:t>
      </w:r>
      <w:r w:rsidR="00106943">
        <w:t xml:space="preserve">Confederación Española de Pesca (CEPESCA) </w:t>
      </w:r>
      <w:r w:rsidR="0038351A">
        <w:t xml:space="preserve">ha manifestado su inquietud </w:t>
      </w:r>
      <w:r w:rsidR="001574FB">
        <w:t xml:space="preserve">ante </w:t>
      </w:r>
      <w:r w:rsidR="00DC5450">
        <w:t>la reunión del próximo lunes de</w:t>
      </w:r>
      <w:r w:rsidR="000B594D">
        <w:t>l Consejo de Ministros de Pesca de la U</w:t>
      </w:r>
      <w:r w:rsidR="00106943">
        <w:t xml:space="preserve">nión </w:t>
      </w:r>
      <w:r w:rsidR="000B594D">
        <w:t>E</w:t>
      </w:r>
      <w:r w:rsidR="00106943">
        <w:t>uropea</w:t>
      </w:r>
      <w:r w:rsidR="000B594D">
        <w:t xml:space="preserve"> </w:t>
      </w:r>
      <w:r w:rsidR="00106943">
        <w:t xml:space="preserve">que fijará los TAC (Total Admisible de Captura) y cuotas </w:t>
      </w:r>
      <w:r w:rsidR="00DC5450">
        <w:t>para la flota e</w:t>
      </w:r>
      <w:r w:rsidR="00106943">
        <w:t xml:space="preserve">uropea en 2017. Según la patronal, </w:t>
      </w:r>
      <w:r w:rsidR="001574FB">
        <w:t xml:space="preserve">las recomendaciones de </w:t>
      </w:r>
      <w:r w:rsidR="0038351A">
        <w:t>la Comisión Europea</w:t>
      </w:r>
      <w:r w:rsidR="00106943">
        <w:t xml:space="preserve"> (CE) son</w:t>
      </w:r>
      <w:r w:rsidR="0038351A">
        <w:t xml:space="preserve"> </w:t>
      </w:r>
      <w:r w:rsidR="001574FB">
        <w:t xml:space="preserve">mucho más restrictivas </w:t>
      </w:r>
      <w:r w:rsidR="00DC628E">
        <w:t>que l</w:t>
      </w:r>
      <w:r w:rsidR="0038351A">
        <w:t>as expresadas por los estamentos científicos</w:t>
      </w:r>
      <w:r w:rsidR="00106943">
        <w:t xml:space="preserve"> y</w:t>
      </w:r>
      <w:r w:rsidR="001574FB">
        <w:t xml:space="preserve"> desprecian</w:t>
      </w:r>
      <w:r w:rsidR="00106943">
        <w:t>, una vez más,</w:t>
      </w:r>
      <w:r w:rsidR="00D6296D">
        <w:t xml:space="preserve"> la </w:t>
      </w:r>
      <w:r w:rsidR="0038351A">
        <w:t xml:space="preserve">sostenibilidad socioeconómica </w:t>
      </w:r>
      <w:r w:rsidR="00DC5450">
        <w:t>de</w:t>
      </w:r>
      <w:r w:rsidR="00D6296D">
        <w:t xml:space="preserve"> empr</w:t>
      </w:r>
      <w:r w:rsidR="00106943">
        <w:t>esas y pescadores. De hecho, advierte</w:t>
      </w:r>
      <w:r w:rsidR="000B594D">
        <w:t xml:space="preserve"> que,</w:t>
      </w:r>
      <w:r w:rsidR="00DC5450">
        <w:t xml:space="preserve"> en el caso de </w:t>
      </w:r>
      <w:r w:rsidR="00106943">
        <w:t>la merluza o el rape</w:t>
      </w:r>
      <w:r w:rsidR="0038351A">
        <w:t xml:space="preserve">, </w:t>
      </w:r>
      <w:r w:rsidR="00A20FEF">
        <w:t>las flotas dirigidas a estas especies</w:t>
      </w:r>
      <w:r w:rsidR="00DC5450">
        <w:t xml:space="preserve"> no p</w:t>
      </w:r>
      <w:r w:rsidR="0038351A">
        <w:t>o</w:t>
      </w:r>
      <w:r w:rsidR="00DC5450">
        <w:t>d</w:t>
      </w:r>
      <w:r w:rsidR="0038351A">
        <w:t>rán</w:t>
      </w:r>
      <w:r w:rsidR="00DC5450">
        <w:t xml:space="preserve"> a</w:t>
      </w:r>
      <w:r w:rsidR="0038351A">
        <w:t xml:space="preserve">sumir </w:t>
      </w:r>
      <w:r w:rsidR="00DC5450">
        <w:t xml:space="preserve">las reducciones propuestas. </w:t>
      </w:r>
    </w:p>
    <w:p w14:paraId="66D3C7C4" w14:textId="72F6F93C" w:rsidR="00C13A60" w:rsidRDefault="00106943" w:rsidP="00661F97">
      <w:pPr>
        <w:jc w:val="both"/>
      </w:pPr>
      <w:r>
        <w:t>Según Cepesca</w:t>
      </w:r>
      <w:r w:rsidR="000B594D">
        <w:t xml:space="preserve">, </w:t>
      </w:r>
      <w:r>
        <w:t>la CE</w:t>
      </w:r>
      <w:r w:rsidR="00DC628E">
        <w:t xml:space="preserve"> pretende fijar unos TAC pensando </w:t>
      </w:r>
      <w:r>
        <w:t>únicamente en alcanzar el</w:t>
      </w:r>
      <w:r w:rsidR="000B594D">
        <w:t xml:space="preserve"> </w:t>
      </w:r>
      <w:r w:rsidR="00DC628E">
        <w:t>Rendimiento Má</w:t>
      </w:r>
      <w:r w:rsidR="000B594D">
        <w:t xml:space="preserve">ximo Sostenible (RMS) en </w:t>
      </w:r>
      <w:r w:rsidR="00DC628E">
        <w:t xml:space="preserve">2017, </w:t>
      </w:r>
      <w:r w:rsidR="001574FB">
        <w:t xml:space="preserve">y sin valorar las </w:t>
      </w:r>
      <w:r w:rsidR="00DC628E">
        <w:t>consecu</w:t>
      </w:r>
      <w:r w:rsidR="00D6296D">
        <w:t xml:space="preserve">encias socioeconómicas </w:t>
      </w:r>
      <w:r>
        <w:t>que, a su juicio, ha</w:t>
      </w:r>
      <w:r w:rsidR="001574FB">
        <w:t xml:space="preserve"> de calibrar </w:t>
      </w:r>
      <w:r w:rsidR="000B594D">
        <w:t xml:space="preserve">el </w:t>
      </w:r>
      <w:r w:rsidR="00661F97">
        <w:t xml:space="preserve">Consejo de Ministros </w:t>
      </w:r>
      <w:r w:rsidR="00D6296D">
        <w:t>de Pesca</w:t>
      </w:r>
      <w:r>
        <w:t>.  Asimismo, Cepesca</w:t>
      </w:r>
      <w:r w:rsidR="000B594D">
        <w:t xml:space="preserve"> aboga </w:t>
      </w:r>
      <w:r w:rsidR="00D6296D">
        <w:t xml:space="preserve">por </w:t>
      </w:r>
      <w:r w:rsidR="000B594D">
        <w:t>fijar los TAC partiendo de las cifras recomendadas por los científicos para conseguir el RMS e</w:t>
      </w:r>
      <w:r w:rsidR="004B73A4">
        <w:t>n 2018, 2019 o 2020, tal y como</w:t>
      </w:r>
      <w:r w:rsidR="000B594D">
        <w:t xml:space="preserve"> permite la Política Pesquera Común (PPC).  </w:t>
      </w:r>
      <w:r w:rsidR="00C13A60">
        <w:t xml:space="preserve">Por otro lado, </w:t>
      </w:r>
      <w:r>
        <w:t>y según Cepesca</w:t>
      </w:r>
      <w:r w:rsidR="0057142A">
        <w:t>, los m</w:t>
      </w:r>
      <w:r w:rsidR="000B594D">
        <w:t xml:space="preserve">inistros también </w:t>
      </w:r>
      <w:r w:rsidR="00C13A60">
        <w:t xml:space="preserve">deberían </w:t>
      </w:r>
      <w:r w:rsidR="000B594D">
        <w:t>considerar</w:t>
      </w:r>
      <w:r w:rsidR="00C13A60">
        <w:t xml:space="preserve"> las disposiciones relativas a la obligación de desembarque (prohibición de descartes) que implicará que capturas</w:t>
      </w:r>
      <w:r w:rsidR="00010B38">
        <w:t>,</w:t>
      </w:r>
      <w:r w:rsidR="00C13A60">
        <w:t xml:space="preserve"> que se </w:t>
      </w:r>
      <w:r>
        <w:t>solían descartar</w:t>
      </w:r>
      <w:r w:rsidR="00010B38">
        <w:t>,</w:t>
      </w:r>
      <w:r>
        <w:t xml:space="preserve"> ahora habrán de ser desembarcadas</w:t>
      </w:r>
      <w:r w:rsidR="00C13A60">
        <w:t xml:space="preserve">, por lo que </w:t>
      </w:r>
      <w:r w:rsidR="000B594D">
        <w:t>habría</w:t>
      </w:r>
      <w:r>
        <w:t xml:space="preserve"> que</w:t>
      </w:r>
      <w:r w:rsidR="000B594D">
        <w:t xml:space="preserve"> </w:t>
      </w:r>
      <w:r w:rsidR="00C13A60">
        <w:t>incrementar los TAC proporcionalmente.</w:t>
      </w:r>
    </w:p>
    <w:p w14:paraId="65A39DE4" w14:textId="6AD385B9" w:rsidR="00AF7A57" w:rsidRDefault="00AF2E77" w:rsidP="00AF7A57">
      <w:pPr>
        <w:jc w:val="both"/>
      </w:pPr>
      <w:r w:rsidRPr="00AF2E77">
        <w:t xml:space="preserve">Por lo que se refiere al caladero nacional, y en el caso de la </w:t>
      </w:r>
      <w:r w:rsidRPr="00106943">
        <w:rPr>
          <w:b/>
        </w:rPr>
        <w:t>merluza</w:t>
      </w:r>
      <w:r>
        <w:t xml:space="preserve">, </w:t>
      </w:r>
      <w:r w:rsidR="00106943">
        <w:t>la propuesta de la CE es reducir el TAC un</w:t>
      </w:r>
      <w:r w:rsidR="00A177FC" w:rsidRPr="00AF2E77">
        <w:t xml:space="preserve"> 35,9 %,</w:t>
      </w:r>
      <w:r w:rsidRPr="00AF2E77">
        <w:t xml:space="preserve"> (</w:t>
      </w:r>
      <w:r w:rsidR="00A177FC" w:rsidRPr="00AF2E77">
        <w:t>6.838 Tn.</w:t>
      </w:r>
      <w:r w:rsidRPr="00AF2E77">
        <w:t>), frente a la recomendación del Consejo Internacional para la Exploración</w:t>
      </w:r>
      <w:r>
        <w:t xml:space="preserve"> del Mar (ICES</w:t>
      </w:r>
      <w:r w:rsidR="002414AB">
        <w:t>) de 8.049 Tn</w:t>
      </w:r>
      <w:r w:rsidR="00106943">
        <w:t>.</w:t>
      </w:r>
      <w:r w:rsidR="002414AB">
        <w:t xml:space="preserve">, que </w:t>
      </w:r>
      <w:r>
        <w:t xml:space="preserve">significa una reducción del 20%.  </w:t>
      </w:r>
      <w:r w:rsidR="00A177FC" w:rsidRPr="00A177FC">
        <w:t xml:space="preserve">Además, </w:t>
      </w:r>
      <w:r w:rsidR="00106943">
        <w:t xml:space="preserve">y según Cepesca, la reducción de la CE </w:t>
      </w:r>
      <w:r w:rsidR="00305C13">
        <w:t xml:space="preserve">supondría </w:t>
      </w:r>
      <w:r>
        <w:t>un incremento de la biomasa reproductora de</w:t>
      </w:r>
      <w:r w:rsidR="00106943">
        <w:t>l</w:t>
      </w:r>
      <w:r>
        <w:t xml:space="preserve"> stock (SSB) superior al 40%, </w:t>
      </w:r>
      <w:r w:rsidR="00305C13">
        <w:t xml:space="preserve">pero </w:t>
      </w:r>
      <w:r w:rsidR="00AF7A57">
        <w:t xml:space="preserve">con unas </w:t>
      </w:r>
      <w:r w:rsidR="00305C13">
        <w:t>consecuencias sociales y económicas inasumibles</w:t>
      </w:r>
      <w:r w:rsidR="00AF7A57">
        <w:t xml:space="preserve"> para esta flota</w:t>
      </w:r>
      <w:r w:rsidR="00305C13">
        <w:t xml:space="preserve">. </w:t>
      </w:r>
      <w:r>
        <w:t xml:space="preserve">Además, la patronal recuerda que </w:t>
      </w:r>
      <w:r w:rsidR="00AF7A57">
        <w:t>el nivel de buques que a partir de este año entrarán en la obligación de desembarque justifica incrementar la cuota.</w:t>
      </w:r>
    </w:p>
    <w:p w14:paraId="50ED1F0D" w14:textId="30CBE0DA" w:rsidR="00AF7A57" w:rsidRPr="001574FB" w:rsidRDefault="00AF7A57" w:rsidP="00AF7A57">
      <w:pPr>
        <w:jc w:val="both"/>
      </w:pPr>
      <w:r>
        <w:t>Por todo ello, y teniendo en cuenta los informes socioeconómicos que ha presentado la Secretaría Genera</w:t>
      </w:r>
      <w:r w:rsidR="00106943">
        <w:t>l de Pesca a la CE</w:t>
      </w:r>
      <w:r>
        <w:t xml:space="preserve">, </w:t>
      </w:r>
      <w:r w:rsidRPr="001574FB">
        <w:t>Cepesca estima que el TAC para 2017 debería situarse entre el esta</w:t>
      </w:r>
      <w:r w:rsidR="001574FB">
        <w:t xml:space="preserve">tus quo y el incremento del 10%, que acarrearía un incremento de la SSB del 10%. </w:t>
      </w:r>
    </w:p>
    <w:p w14:paraId="33CD0CCA" w14:textId="056DAD49" w:rsidR="000F308D" w:rsidRDefault="00106943" w:rsidP="000F308D">
      <w:pPr>
        <w:jc w:val="both"/>
      </w:pPr>
      <w:r>
        <w:t xml:space="preserve">En el caso del </w:t>
      </w:r>
      <w:r w:rsidRPr="00106943">
        <w:rPr>
          <w:b/>
        </w:rPr>
        <w:t>gallo</w:t>
      </w:r>
      <w:r>
        <w:rPr>
          <w:b/>
        </w:rPr>
        <w:t>,</w:t>
      </w:r>
      <w:r w:rsidR="00B71648" w:rsidRPr="00625814">
        <w:rPr>
          <w:b/>
        </w:rPr>
        <w:t xml:space="preserve"> </w:t>
      </w:r>
      <w:r>
        <w:t>la CE</w:t>
      </w:r>
      <w:r w:rsidR="00B71648" w:rsidRPr="00625814">
        <w:t xml:space="preserve"> </w:t>
      </w:r>
      <w:r w:rsidR="001574FB" w:rsidRPr="00625814">
        <w:t xml:space="preserve">propone una reducción del </w:t>
      </w:r>
      <w:r w:rsidR="00B71648" w:rsidRPr="00625814">
        <w:t xml:space="preserve">25,7 %, </w:t>
      </w:r>
      <w:r w:rsidR="001574FB" w:rsidRPr="00625814">
        <w:t>(</w:t>
      </w:r>
      <w:r w:rsidR="00B71648" w:rsidRPr="00625814">
        <w:t>1.013 Tn.</w:t>
      </w:r>
      <w:r w:rsidR="001574FB" w:rsidRPr="00625814">
        <w:t>)</w:t>
      </w:r>
      <w:r>
        <w:t>,</w:t>
      </w:r>
      <w:r w:rsidR="001574FB" w:rsidRPr="00625814">
        <w:t xml:space="preserve"> t</w:t>
      </w:r>
      <w:r w:rsidR="00625814" w:rsidRPr="00625814">
        <w:t>ras la</w:t>
      </w:r>
      <w:r w:rsidR="00625814">
        <w:t xml:space="preserve"> red</w:t>
      </w:r>
      <w:r w:rsidR="001574FB">
        <w:t>ucció</w:t>
      </w:r>
      <w:r w:rsidR="00625814">
        <w:t>n que ya sufrió</w:t>
      </w:r>
      <w:r w:rsidR="001574FB">
        <w:t xml:space="preserve"> esta especie del 40% en 2015. La pat</w:t>
      </w:r>
      <w:r w:rsidR="00625814">
        <w:t>ronal recuerda</w:t>
      </w:r>
      <w:r w:rsidR="001574FB">
        <w:t xml:space="preserve"> </w:t>
      </w:r>
      <w:r w:rsidR="00625814">
        <w:t>q</w:t>
      </w:r>
      <w:r w:rsidR="001574FB">
        <w:t>ue</w:t>
      </w:r>
      <w:r>
        <w:t>,</w:t>
      </w:r>
      <w:r w:rsidR="001574FB">
        <w:t xml:space="preserve"> según el ICES</w:t>
      </w:r>
      <w:r>
        <w:t>,</w:t>
      </w:r>
      <w:r w:rsidR="001574FB">
        <w:t xml:space="preserve"> se encuentra ahora mismo en niveles de RMS</w:t>
      </w:r>
      <w:r w:rsidR="000F308D">
        <w:t xml:space="preserve">, por lo que recomienda mantener el TAC actual. </w:t>
      </w:r>
    </w:p>
    <w:p w14:paraId="5B9D6D55" w14:textId="77777777" w:rsidR="00106943" w:rsidRDefault="00106943" w:rsidP="000F308D">
      <w:pPr>
        <w:jc w:val="both"/>
      </w:pPr>
    </w:p>
    <w:p w14:paraId="5C707DC5" w14:textId="71D71332" w:rsidR="00D40B42" w:rsidRPr="000F308D" w:rsidRDefault="000F308D" w:rsidP="000F308D">
      <w:pPr>
        <w:jc w:val="both"/>
      </w:pPr>
      <w:r>
        <w:lastRenderedPageBreak/>
        <w:t xml:space="preserve">Por lo que se refiere al </w:t>
      </w:r>
      <w:r w:rsidR="00106943">
        <w:rPr>
          <w:b/>
        </w:rPr>
        <w:t>rape</w:t>
      </w:r>
      <w:r w:rsidRPr="000F308D">
        <w:t xml:space="preserve">, y a pesar de la </w:t>
      </w:r>
      <w:r w:rsidR="00106943">
        <w:t>propuesta de la CE</w:t>
      </w:r>
      <w:r w:rsidR="00D40B42" w:rsidRPr="000F308D">
        <w:t xml:space="preserve"> </w:t>
      </w:r>
      <w:r w:rsidRPr="000F308D">
        <w:t xml:space="preserve">de </w:t>
      </w:r>
      <w:r w:rsidR="00D40B42" w:rsidRPr="000F308D">
        <w:t xml:space="preserve">incrementar </w:t>
      </w:r>
      <w:r w:rsidRPr="000F308D">
        <w:t xml:space="preserve">el TAC en </w:t>
      </w:r>
      <w:r w:rsidR="004B73A4">
        <w:t>un 54</w:t>
      </w:r>
      <w:r w:rsidR="00D40B42" w:rsidRPr="000F308D">
        <w:t>%,</w:t>
      </w:r>
      <w:r w:rsidRPr="000F308D">
        <w:t xml:space="preserve"> (</w:t>
      </w:r>
      <w:r w:rsidR="00D40B42" w:rsidRPr="000F308D">
        <w:t>3.955 Tn</w:t>
      </w:r>
      <w:r w:rsidR="00106943">
        <w:t>.</w:t>
      </w:r>
      <w:r w:rsidRPr="000F308D">
        <w:t xml:space="preserve">), la patronal recuerda que esta especie entrará </w:t>
      </w:r>
      <w:r w:rsidR="00D40B42" w:rsidRPr="000F308D">
        <w:t>en la obligac</w:t>
      </w:r>
      <w:r w:rsidR="00106943">
        <w:t>ión de desembarque en</w:t>
      </w:r>
      <w:r w:rsidR="00D40B42" w:rsidRPr="000F308D">
        <w:t xml:space="preserve"> 2017</w:t>
      </w:r>
      <w:r w:rsidRPr="000F308D">
        <w:t xml:space="preserve"> y cree que este incremento, por lo tanto, debería de ser mayor. </w:t>
      </w:r>
    </w:p>
    <w:p w14:paraId="6295C6FB" w14:textId="7C24B800" w:rsidR="00F03EDF" w:rsidRPr="00F03EDF" w:rsidRDefault="00F03EDF" w:rsidP="00F03EDF">
      <w:pPr>
        <w:jc w:val="both"/>
      </w:pPr>
      <w:r w:rsidRPr="00F03EDF">
        <w:t>Por otro lado, fren</w:t>
      </w:r>
      <w:r w:rsidR="00106943">
        <w:t>te a la propuesta</w:t>
      </w:r>
      <w:r w:rsidRPr="00F03EDF">
        <w:t xml:space="preserve"> de prohibir la pesca de </w:t>
      </w:r>
      <w:r w:rsidR="00106943">
        <w:rPr>
          <w:b/>
        </w:rPr>
        <w:t>c</w:t>
      </w:r>
      <w:r w:rsidR="009971CF" w:rsidRPr="00F03EDF">
        <w:rPr>
          <w:b/>
        </w:rPr>
        <w:t>igala</w:t>
      </w:r>
      <w:r w:rsidRPr="00F03EDF">
        <w:rPr>
          <w:b/>
        </w:rPr>
        <w:t xml:space="preserve">, </w:t>
      </w:r>
      <w:r w:rsidRPr="00F03EDF">
        <w:t>Cepesca</w:t>
      </w:r>
      <w:r w:rsidRPr="00F03EDF">
        <w:rPr>
          <w:b/>
        </w:rPr>
        <w:t xml:space="preserve"> </w:t>
      </w:r>
      <w:r w:rsidRPr="00F03EDF">
        <w:t>indica</w:t>
      </w:r>
      <w:r>
        <w:t xml:space="preserve"> </w:t>
      </w:r>
      <w:r w:rsidR="00C13A60">
        <w:t xml:space="preserve"> </w:t>
      </w:r>
      <w:r>
        <w:t xml:space="preserve">que la realidad es que la flota ha constatado </w:t>
      </w:r>
      <w:r w:rsidR="00967ED3">
        <w:t xml:space="preserve">un incremento en los índices de abundancia de dicha especie y, por tanto, </w:t>
      </w:r>
      <w:r>
        <w:t xml:space="preserve">ha comprobado </w:t>
      </w:r>
      <w:r w:rsidR="00967ED3">
        <w:t xml:space="preserve">que el stock </w:t>
      </w:r>
      <w:r>
        <w:t xml:space="preserve">se encuentra en mejor situación, por lo que considera que debería mantenerse el TAC actual de </w:t>
      </w:r>
      <w:r w:rsidR="00106943">
        <w:t>48 Tn</w:t>
      </w:r>
      <w:r w:rsidR="00C13A60" w:rsidRPr="00F03EDF">
        <w:t>.</w:t>
      </w:r>
      <w:r w:rsidRPr="00F03EDF">
        <w:t xml:space="preserve"> Respecto al </w:t>
      </w:r>
      <w:r w:rsidR="00106943">
        <w:rPr>
          <w:b/>
        </w:rPr>
        <w:t>j</w:t>
      </w:r>
      <w:r w:rsidRPr="00647606">
        <w:rPr>
          <w:b/>
        </w:rPr>
        <w:t>urel</w:t>
      </w:r>
      <w:r w:rsidR="00106943">
        <w:t>, la CE</w:t>
      </w:r>
      <w:r w:rsidRPr="00F03EDF">
        <w:t xml:space="preserve"> propone una reducción del TAC del 45%, frente a la recomendación del ICES del 23%, porcenta</w:t>
      </w:r>
      <w:r w:rsidR="00106943">
        <w:t>je que</w:t>
      </w:r>
      <w:r w:rsidR="00B57DF9">
        <w:t xml:space="preserve"> también</w:t>
      </w:r>
      <w:r w:rsidR="00106943">
        <w:t xml:space="preserve"> recomienda Cepesca, tenie</w:t>
      </w:r>
      <w:r w:rsidRPr="00F03EDF">
        <w:t>ndo en c</w:t>
      </w:r>
      <w:r w:rsidR="004B73A4">
        <w:t>uenta el impacto socioeconómico de una reducción mayor</w:t>
      </w:r>
      <w:r w:rsidRPr="00F03EDF">
        <w:t xml:space="preserve"> sobre todo en d</w:t>
      </w:r>
      <w:r w:rsidR="004B73A4">
        <w:t>eterminados puertos gallegos.</w:t>
      </w:r>
    </w:p>
    <w:p w14:paraId="26FF71EA" w14:textId="0CAD0CF3" w:rsidR="00BD627A" w:rsidRPr="00647606" w:rsidRDefault="00F03EDF" w:rsidP="00F03EDF">
      <w:pPr>
        <w:jc w:val="both"/>
      </w:pPr>
      <w:r w:rsidRPr="00F03EDF">
        <w:t>L</w:t>
      </w:r>
      <w:r w:rsidR="00B57DF9">
        <w:t>a CE</w:t>
      </w:r>
      <w:r w:rsidR="00BD627A" w:rsidRPr="00F03EDF">
        <w:t xml:space="preserve"> propone mantener el mismo TAC del año pasado</w:t>
      </w:r>
      <w:r w:rsidRPr="00F03EDF">
        <w:t xml:space="preserve"> en el caso del </w:t>
      </w:r>
      <w:r w:rsidRPr="00B57DF9">
        <w:rPr>
          <w:b/>
        </w:rPr>
        <w:t>boquerón</w:t>
      </w:r>
      <w:r w:rsidRPr="00F03EDF">
        <w:t xml:space="preserve"> (</w:t>
      </w:r>
      <w:r w:rsidR="00BD627A" w:rsidRPr="00F03EDF">
        <w:t>10.</w:t>
      </w:r>
      <w:r w:rsidR="00B57DF9">
        <w:t>622 Tn.</w:t>
      </w:r>
      <w:r w:rsidRPr="00F03EDF">
        <w:t>)</w:t>
      </w:r>
      <w:r w:rsidR="00B57DF9">
        <w:t xml:space="preserve">, </w:t>
      </w:r>
      <w:r w:rsidR="00BD627A" w:rsidRPr="00F03EDF">
        <w:t xml:space="preserve">pero </w:t>
      </w:r>
      <w:r w:rsidR="00B57DF9">
        <w:t>no tiene en cuenta que éste</w:t>
      </w:r>
      <w:r>
        <w:t xml:space="preserve"> </w:t>
      </w:r>
      <w:r w:rsidR="00BD627A" w:rsidRPr="00F03EDF">
        <w:t xml:space="preserve">ha sido revisado </w:t>
      </w:r>
      <w:r w:rsidR="00647606">
        <w:t>a lo largo del año</w:t>
      </w:r>
      <w:r w:rsidR="00474D66" w:rsidRPr="00F03EDF">
        <w:t xml:space="preserve">. </w:t>
      </w:r>
      <w:r w:rsidR="00647606">
        <w:t xml:space="preserve">Por ello, y partiendo de </w:t>
      </w:r>
      <w:r w:rsidR="00474D66" w:rsidRPr="00F03EDF">
        <w:t>que los informes del Instituto Español d</w:t>
      </w:r>
      <w:r w:rsidR="00647606">
        <w:t xml:space="preserve">e Oceanografía (IEO) apuntan </w:t>
      </w:r>
      <w:r w:rsidR="00474D66" w:rsidRPr="00F03EDF">
        <w:t xml:space="preserve">un gran reclutamiento y que el estado del stock es bueno, </w:t>
      </w:r>
      <w:r w:rsidR="00474D66" w:rsidRPr="00647606">
        <w:t xml:space="preserve">Cepesca </w:t>
      </w:r>
      <w:r w:rsidR="00647606">
        <w:t xml:space="preserve">recomienda </w:t>
      </w:r>
      <w:r w:rsidR="00474D66" w:rsidRPr="00647606">
        <w:t>un TAC de 15.000 Tn.</w:t>
      </w:r>
    </w:p>
    <w:p w14:paraId="30C1D29C" w14:textId="77777777" w:rsidR="00BB5356" w:rsidRPr="00BB5356" w:rsidRDefault="00BB5356" w:rsidP="00BB5356">
      <w:pPr>
        <w:spacing w:line="240" w:lineRule="auto"/>
        <w:contextualSpacing/>
        <w:jc w:val="both"/>
        <w:rPr>
          <w:b/>
        </w:rPr>
      </w:pPr>
      <w:r w:rsidRPr="00BB5356">
        <w:rPr>
          <w:b/>
        </w:rPr>
        <w:t xml:space="preserve">Aguas comunitarias no españolas </w:t>
      </w:r>
    </w:p>
    <w:p w14:paraId="16B971C8" w14:textId="77777777" w:rsidR="00BB5356" w:rsidRDefault="00BB5356" w:rsidP="00BB5356">
      <w:pPr>
        <w:spacing w:line="240" w:lineRule="auto"/>
        <w:contextualSpacing/>
        <w:jc w:val="both"/>
      </w:pPr>
      <w:r w:rsidRPr="00F500A2">
        <w:t xml:space="preserve">Respecto a las aguas comunitarias no españolas, Cepesca considera insuficiente la propuesta de la CE de incrementar un 2,8% el TAC de la </w:t>
      </w:r>
      <w:r w:rsidRPr="00BB5356">
        <w:rPr>
          <w:b/>
        </w:rPr>
        <w:t>merluza norte</w:t>
      </w:r>
      <w:r>
        <w:t xml:space="preserve"> (</w:t>
      </w:r>
      <w:r w:rsidRPr="00F500A2">
        <w:t>111.865 Tn</w:t>
      </w:r>
      <w:r>
        <w:t>.)</w:t>
      </w:r>
      <w:r w:rsidRPr="00F500A2">
        <w:t>, dado que esta especie está sometida a la obligación de desembarque. Según la patronal y de acuerdo a la recomendación del ICES, este stock podría aumenta</w:t>
      </w:r>
      <w:r>
        <w:t>rse, al menos, un 13% (</w:t>
      </w:r>
      <w:r w:rsidRPr="00F500A2">
        <w:t>123.777 Tn</w:t>
      </w:r>
      <w:r>
        <w:t>.)</w:t>
      </w:r>
      <w:r w:rsidRPr="00F500A2">
        <w:t>, en base al cumplimiento del RMS e incluyendo así las toneladas de descartes asociadas.</w:t>
      </w:r>
    </w:p>
    <w:p w14:paraId="634EC797" w14:textId="77777777" w:rsidR="00BB5356" w:rsidRDefault="00BB5356" w:rsidP="00BB5356">
      <w:pPr>
        <w:spacing w:line="240" w:lineRule="auto"/>
        <w:contextualSpacing/>
        <w:jc w:val="both"/>
      </w:pPr>
    </w:p>
    <w:p w14:paraId="604BE610" w14:textId="08661489" w:rsidR="00BB5356" w:rsidRDefault="00BB5356" w:rsidP="00BB5356">
      <w:pPr>
        <w:spacing w:line="240" w:lineRule="auto"/>
        <w:contextualSpacing/>
        <w:jc w:val="both"/>
      </w:pPr>
      <w:r w:rsidRPr="00F500A2">
        <w:t xml:space="preserve">Frente a la propuesta de reducir un 11,9% el conjunto del stock de </w:t>
      </w:r>
      <w:r w:rsidRPr="00BB5356">
        <w:rPr>
          <w:b/>
        </w:rPr>
        <w:t>rape blanco y negro</w:t>
      </w:r>
      <w:r w:rsidRPr="00F500A2">
        <w:t xml:space="preserve">, Cepesca solicita un incremento </w:t>
      </w:r>
      <w:r>
        <w:t>del TAC del 10% (46.746</w:t>
      </w:r>
      <w:r w:rsidRPr="00F500A2">
        <w:t>Tn</w:t>
      </w:r>
      <w:r>
        <w:t>.)</w:t>
      </w:r>
      <w:r w:rsidRPr="00F500A2">
        <w:t xml:space="preserve"> o, en su defecto, mantener el de 2016 </w:t>
      </w:r>
      <w:r>
        <w:t>(42.496</w:t>
      </w:r>
      <w:r w:rsidRPr="00F500A2">
        <w:t>Tn.</w:t>
      </w:r>
      <w:r>
        <w:t>)</w:t>
      </w:r>
      <w:r w:rsidR="00B57DF9">
        <w:t>,</w:t>
      </w:r>
      <w:r>
        <w:t xml:space="preserve"> y </w:t>
      </w:r>
      <w:r w:rsidRPr="00F500A2">
        <w:t>basa esta demanda en la mejora del stock de ambas especies registrado dura</w:t>
      </w:r>
      <w:r>
        <w:t>nte el trienio 2013-201</w:t>
      </w:r>
      <w:r w:rsidR="00A20FEF">
        <w:t>5, (un 16,3% en el caso del rape</w:t>
      </w:r>
      <w:r>
        <w:t xml:space="preserve"> blanco </w:t>
      </w:r>
      <w:r w:rsidRPr="00F500A2">
        <w:t xml:space="preserve">16,3% </w:t>
      </w:r>
      <w:r>
        <w:t>y un 2</w:t>
      </w:r>
      <w:r w:rsidR="00A20FEF">
        <w:t xml:space="preserve">8,6% en el </w:t>
      </w:r>
      <w:r w:rsidR="004B73A4">
        <w:t xml:space="preserve">del </w:t>
      </w:r>
      <w:r w:rsidR="00A20FEF">
        <w:t>rape</w:t>
      </w:r>
      <w:r w:rsidR="00B57DF9">
        <w:t xml:space="preserve"> negro, respecto a</w:t>
      </w:r>
      <w:r>
        <w:t xml:space="preserve"> </w:t>
      </w:r>
      <w:r w:rsidRPr="00F500A2">
        <w:t>2010-2012</w:t>
      </w:r>
      <w:r>
        <w:t>)</w:t>
      </w:r>
      <w:r w:rsidRPr="00F500A2">
        <w:t>.</w:t>
      </w:r>
    </w:p>
    <w:p w14:paraId="5AC5D777" w14:textId="77777777" w:rsidR="00BB5356" w:rsidRDefault="00BB5356" w:rsidP="00BB5356">
      <w:pPr>
        <w:spacing w:line="240" w:lineRule="auto"/>
        <w:contextualSpacing/>
        <w:jc w:val="both"/>
      </w:pPr>
    </w:p>
    <w:p w14:paraId="72E7E065" w14:textId="26150CA7" w:rsidR="00BB5356" w:rsidRDefault="00B57DF9" w:rsidP="00BB5356">
      <w:pPr>
        <w:spacing w:line="240" w:lineRule="auto"/>
        <w:contextualSpacing/>
        <w:jc w:val="both"/>
      </w:pPr>
      <w:r>
        <w:t>En relación</w:t>
      </w:r>
      <w:r w:rsidR="00BB5356" w:rsidRPr="00F500A2">
        <w:t xml:space="preserve"> al </w:t>
      </w:r>
      <w:r w:rsidR="00BB5356" w:rsidRPr="00BB5356">
        <w:rPr>
          <w:b/>
        </w:rPr>
        <w:t>gallo</w:t>
      </w:r>
      <w:r w:rsidR="00BB5356" w:rsidRPr="00F500A2">
        <w:t>, Cepesca llam</w:t>
      </w:r>
      <w:r w:rsidR="00BB5356">
        <w:t xml:space="preserve">a la atención </w:t>
      </w:r>
      <w:r w:rsidR="00BB5356" w:rsidRPr="00F500A2">
        <w:t>sobre el hecho de que los informes del ICES solamente facilitan datos de la especie más abundante, el gallo del norte-whiff, y carece de información sobre el gallo de cuatro manchas. En este caso, Cepesca propone aumentar, a</w:t>
      </w:r>
      <w:r w:rsidR="00BB5356">
        <w:t>l menos, un 15% el TAC de gallo (</w:t>
      </w:r>
      <w:r w:rsidR="00BB5356" w:rsidRPr="00F500A2">
        <w:t>26.953 Tn</w:t>
      </w:r>
      <w:r w:rsidR="00BB5356">
        <w:t>.)</w:t>
      </w:r>
      <w:r w:rsidR="00BB5356" w:rsidRPr="00F500A2">
        <w:t xml:space="preserve">, frente a la reducción del 27% propuesto por la CE. La patronal </w:t>
      </w:r>
      <w:r w:rsidR="00BB5356">
        <w:t xml:space="preserve">lo justifica </w:t>
      </w:r>
      <w:r w:rsidR="00BB5356" w:rsidRPr="00F500A2">
        <w:t>constata</w:t>
      </w:r>
      <w:r w:rsidR="00BB5356">
        <w:t>n</w:t>
      </w:r>
      <w:r w:rsidR="00BB5356" w:rsidRPr="00F500A2">
        <w:t xml:space="preserve">do </w:t>
      </w:r>
      <w:r w:rsidR="00BB5356">
        <w:t xml:space="preserve">el </w:t>
      </w:r>
      <w:r w:rsidR="00BB5356" w:rsidRPr="00F500A2">
        <w:t>buen estado de l</w:t>
      </w:r>
      <w:r w:rsidR="00BB5356">
        <w:t>a biomasa</w:t>
      </w:r>
      <w:r w:rsidR="00BB5356" w:rsidRPr="00F500A2">
        <w:t xml:space="preserve">, en valores récord desde hace más de 30 años y, específicamente, en el aumento de la biomasa de los reproductores registrada en el último año, el descenso de la mortalidad por pesca y el repunte del reclutamiento. </w:t>
      </w:r>
    </w:p>
    <w:p w14:paraId="44987FAC" w14:textId="77777777" w:rsidR="00BB5356" w:rsidRDefault="00BB5356" w:rsidP="00BB5356">
      <w:pPr>
        <w:spacing w:line="240" w:lineRule="auto"/>
        <w:contextualSpacing/>
        <w:jc w:val="both"/>
      </w:pPr>
    </w:p>
    <w:p w14:paraId="2966C26D" w14:textId="3BC5E2FE" w:rsidR="00BB5356" w:rsidRDefault="00BB5356" w:rsidP="00BB5356">
      <w:pPr>
        <w:spacing w:line="240" w:lineRule="auto"/>
        <w:contextualSpacing/>
        <w:jc w:val="both"/>
      </w:pPr>
      <w:r w:rsidRPr="00F500A2">
        <w:t xml:space="preserve">Por último, Cepesca rechaza la propuesta de la CE de establecer una serie de medidas especiales para la </w:t>
      </w:r>
      <w:r w:rsidRPr="00BB5356">
        <w:rPr>
          <w:b/>
        </w:rPr>
        <w:t>lubina</w:t>
      </w:r>
      <w:r w:rsidRPr="00F500A2">
        <w:t xml:space="preserve"> del Golfo de Vizcaya, especie para la que actualmente no hay un TAC</w:t>
      </w:r>
      <w:r w:rsidR="00B57DF9">
        <w:t xml:space="preserve"> establecido, y solicita a los e</w:t>
      </w:r>
      <w:r w:rsidRPr="00F500A2">
        <w:t>stados miembros debatir este tema en futuras reuniones. Según la patronal, la propuesta supondría una limitación de 0,080 Tn</w:t>
      </w:r>
      <w:r w:rsidR="004B73A4">
        <w:t>.</w:t>
      </w:r>
      <w:r w:rsidRPr="00F500A2">
        <w:t xml:space="preserve"> al mes par</w:t>
      </w:r>
      <w:r w:rsidR="004B73A4">
        <w:t>a la flota de arrastre de fondo</w:t>
      </w:r>
      <w:r w:rsidRPr="00F500A2">
        <w:t xml:space="preserve"> que captura esta especie</w:t>
      </w:r>
      <w:r w:rsidR="004B0D62">
        <w:t>,</w:t>
      </w:r>
      <w:r w:rsidRPr="00F500A2">
        <w:t xml:space="preserve"> </w:t>
      </w:r>
      <w:r w:rsidR="004B0D62" w:rsidRPr="00F500A2">
        <w:t xml:space="preserve">muy rentable </w:t>
      </w:r>
      <w:r w:rsidRPr="00F500A2">
        <w:t>económicamente</w:t>
      </w:r>
      <w:r w:rsidR="004B0D62">
        <w:t>,</w:t>
      </w:r>
      <w:r w:rsidRPr="00F500A2">
        <w:t xml:space="preserve"> en lances puntuales.</w:t>
      </w:r>
    </w:p>
    <w:p w14:paraId="1CF37EAE" w14:textId="1C7DF43C" w:rsidR="00B57DF9" w:rsidRDefault="00B57DF9" w:rsidP="00BB5356">
      <w:pPr>
        <w:spacing w:line="240" w:lineRule="auto"/>
        <w:contextualSpacing/>
        <w:jc w:val="both"/>
      </w:pPr>
    </w:p>
    <w:p w14:paraId="7156D437" w14:textId="77777777" w:rsidR="00B57DF9" w:rsidRPr="00B57DF9" w:rsidRDefault="00B57DF9" w:rsidP="00B57DF9">
      <w:pPr>
        <w:spacing w:line="240" w:lineRule="auto"/>
        <w:contextualSpacing/>
        <w:jc w:val="both"/>
      </w:pPr>
      <w:r w:rsidRPr="00B57DF9">
        <w:rPr>
          <w:b/>
          <w:lang w:val="es-ES_tradnl"/>
        </w:rPr>
        <w:t>Sobre CEPESCA</w:t>
      </w:r>
    </w:p>
    <w:p w14:paraId="2B1825F0" w14:textId="77777777" w:rsidR="00B57DF9" w:rsidRPr="00B57DF9" w:rsidRDefault="00B57DF9" w:rsidP="00B57DF9">
      <w:pPr>
        <w:spacing w:line="240" w:lineRule="auto"/>
        <w:contextualSpacing/>
        <w:jc w:val="both"/>
        <w:rPr>
          <w:i/>
        </w:rPr>
      </w:pPr>
      <w:r w:rsidRPr="00B57DF9">
        <w:rPr>
          <w:i/>
        </w:rPr>
        <w:t xml:space="preserve">Cepesca es la organización empresarial de ámbito nacional más representativa de la Unión Europea y agrupa a 38 asociaciones de armadores de buques de pesca tanto de bajura como de altura, con 800 empresas pesqueras, 882 buques, cerca de 10.000 tripulantes y un tonelaje de arqueo de 225.227 GTs. Entre sus objetivos, la Confederación persigue mejorar la competitividad de las empresas pesqueras, apostar por la formación de las tripulaciones y el relevo generacional, promover el desarrollo de una pesca responsable y sostenible y luchar contra la pesca ilegal. Para conocer más, visita </w:t>
      </w:r>
      <w:hyperlink r:id="rId8" w:history="1">
        <w:r w:rsidRPr="00B57DF9">
          <w:rPr>
            <w:rStyle w:val="Hipervnculo"/>
          </w:rPr>
          <w:t>www.cepesca.es</w:t>
        </w:r>
      </w:hyperlink>
    </w:p>
    <w:p w14:paraId="587427A7" w14:textId="77777777" w:rsidR="00B57DF9" w:rsidRPr="00B57DF9" w:rsidRDefault="00B57DF9" w:rsidP="00B57DF9">
      <w:pPr>
        <w:spacing w:line="240" w:lineRule="auto"/>
        <w:contextualSpacing/>
        <w:jc w:val="both"/>
        <w:rPr>
          <w:i/>
        </w:rPr>
      </w:pPr>
    </w:p>
    <w:p w14:paraId="7B2205BC" w14:textId="77777777" w:rsidR="00B57DF9" w:rsidRPr="00B57DF9" w:rsidRDefault="00B57DF9" w:rsidP="00B57DF9">
      <w:pPr>
        <w:spacing w:line="240" w:lineRule="auto"/>
        <w:contextualSpacing/>
        <w:jc w:val="right"/>
        <w:rPr>
          <w:i/>
        </w:rPr>
      </w:pPr>
      <w:r w:rsidRPr="00B57DF9">
        <w:rPr>
          <w:i/>
        </w:rPr>
        <w:t>Para más información:</w:t>
      </w:r>
    </w:p>
    <w:p w14:paraId="6342F5DB" w14:textId="77777777" w:rsidR="00B57DF9" w:rsidRPr="00B57DF9" w:rsidRDefault="00B57DF9" w:rsidP="00B57DF9">
      <w:pPr>
        <w:spacing w:line="240" w:lineRule="auto"/>
        <w:contextualSpacing/>
        <w:jc w:val="right"/>
        <w:rPr>
          <w:b/>
        </w:rPr>
      </w:pPr>
    </w:p>
    <w:p w14:paraId="1ADEB671" w14:textId="77777777" w:rsidR="00B57DF9" w:rsidRPr="00B57DF9" w:rsidRDefault="00B57DF9" w:rsidP="00B57DF9">
      <w:pPr>
        <w:spacing w:line="240" w:lineRule="auto"/>
        <w:contextualSpacing/>
        <w:jc w:val="right"/>
        <w:rPr>
          <w:b/>
        </w:rPr>
      </w:pPr>
      <w:r w:rsidRPr="00B57DF9">
        <w:rPr>
          <w:b/>
          <w:noProof/>
          <w:lang w:eastAsia="es-ES"/>
        </w:rPr>
        <w:drawing>
          <wp:inline distT="0" distB="0" distL="0" distR="0" wp14:anchorId="3826A68B" wp14:editId="3DD0016E">
            <wp:extent cx="654461" cy="462948"/>
            <wp:effectExtent l="0" t="0" r="6350" b="0"/>
            <wp:docPr id="3" name="Imagen 3" descr="../../../../../../Desktop/Logo%20bdi.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20bdi.p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2147" cy="482533"/>
                    </a:xfrm>
                    <a:prstGeom prst="rect">
                      <a:avLst/>
                    </a:prstGeom>
                    <a:noFill/>
                    <a:ln>
                      <a:noFill/>
                    </a:ln>
                  </pic:spPr>
                </pic:pic>
              </a:graphicData>
            </a:graphic>
          </wp:inline>
        </w:drawing>
      </w:r>
    </w:p>
    <w:p w14:paraId="6D09C565" w14:textId="77777777" w:rsidR="00B57DF9" w:rsidRPr="00B57DF9" w:rsidRDefault="00B57DF9" w:rsidP="00B57DF9">
      <w:pPr>
        <w:spacing w:line="240" w:lineRule="auto"/>
        <w:contextualSpacing/>
        <w:jc w:val="right"/>
        <w:rPr>
          <w:b/>
          <w:lang w:val="fr-BE"/>
        </w:rPr>
      </w:pPr>
      <w:r w:rsidRPr="00B57DF9">
        <w:rPr>
          <w:b/>
          <w:lang w:val="fr-BE"/>
        </w:rPr>
        <w:t>Raquel López</w:t>
      </w:r>
    </w:p>
    <w:p w14:paraId="2AE6A44F" w14:textId="77777777" w:rsidR="00B57DF9" w:rsidRPr="00B57DF9" w:rsidRDefault="004947B1" w:rsidP="00B57DF9">
      <w:pPr>
        <w:spacing w:line="240" w:lineRule="auto"/>
        <w:contextualSpacing/>
        <w:jc w:val="right"/>
        <w:rPr>
          <w:lang w:val="fr-BE"/>
        </w:rPr>
      </w:pPr>
      <w:hyperlink r:id="rId10" w:history="1">
        <w:r w:rsidR="00B57DF9" w:rsidRPr="00B57DF9">
          <w:rPr>
            <w:rStyle w:val="Hipervnculo"/>
            <w:lang w:val="fr-BE"/>
          </w:rPr>
          <w:t>raquel@bdicomunicacion.com</w:t>
        </w:r>
      </w:hyperlink>
    </w:p>
    <w:p w14:paraId="6D3A44D6" w14:textId="77777777" w:rsidR="00B57DF9" w:rsidRPr="00B57DF9" w:rsidRDefault="00B57DF9" w:rsidP="00B57DF9">
      <w:pPr>
        <w:spacing w:line="240" w:lineRule="auto"/>
        <w:contextualSpacing/>
        <w:jc w:val="right"/>
        <w:rPr>
          <w:b/>
          <w:lang w:val="it-IT"/>
        </w:rPr>
      </w:pPr>
      <w:r w:rsidRPr="00B57DF9">
        <w:rPr>
          <w:b/>
          <w:lang w:val="it-IT"/>
        </w:rPr>
        <w:t>Lola Sánchez-Manjavacas</w:t>
      </w:r>
    </w:p>
    <w:p w14:paraId="6F6FB349" w14:textId="77777777" w:rsidR="00B57DF9" w:rsidRPr="00B57DF9" w:rsidRDefault="004947B1" w:rsidP="00B57DF9">
      <w:pPr>
        <w:spacing w:line="240" w:lineRule="auto"/>
        <w:contextualSpacing/>
        <w:jc w:val="right"/>
        <w:rPr>
          <w:lang w:val="it-IT"/>
        </w:rPr>
      </w:pPr>
      <w:hyperlink r:id="rId11" w:history="1">
        <w:r w:rsidR="00B57DF9" w:rsidRPr="00B57DF9">
          <w:rPr>
            <w:rStyle w:val="Hipervnculo"/>
            <w:lang w:val="it-IT"/>
          </w:rPr>
          <w:t>lola@bdicomunicacion.com</w:t>
        </w:r>
      </w:hyperlink>
    </w:p>
    <w:p w14:paraId="2B3DE6F1" w14:textId="77777777" w:rsidR="00B57DF9" w:rsidRPr="00B57DF9" w:rsidRDefault="00B57DF9" w:rsidP="00B57DF9">
      <w:pPr>
        <w:spacing w:line="240" w:lineRule="auto"/>
        <w:contextualSpacing/>
        <w:jc w:val="right"/>
        <w:rPr>
          <w:b/>
          <w:lang w:val="pt-PT"/>
        </w:rPr>
      </w:pPr>
      <w:r w:rsidRPr="00B57DF9">
        <w:rPr>
          <w:b/>
          <w:lang w:val="pt-PT"/>
        </w:rPr>
        <w:t>Eugenio Sanz</w:t>
      </w:r>
    </w:p>
    <w:p w14:paraId="00D162ED" w14:textId="77777777" w:rsidR="00B57DF9" w:rsidRPr="00B57DF9" w:rsidRDefault="004947B1" w:rsidP="00B57DF9">
      <w:pPr>
        <w:spacing w:line="240" w:lineRule="auto"/>
        <w:contextualSpacing/>
        <w:jc w:val="right"/>
        <w:rPr>
          <w:lang w:val="pt-PT"/>
        </w:rPr>
      </w:pPr>
      <w:hyperlink r:id="rId12" w:history="1">
        <w:r w:rsidR="00B57DF9" w:rsidRPr="00B57DF9">
          <w:rPr>
            <w:rStyle w:val="Hipervnculo"/>
            <w:lang w:val="pt-PT"/>
          </w:rPr>
          <w:t>eugenio@bdicomunicacion.com</w:t>
        </w:r>
      </w:hyperlink>
    </w:p>
    <w:p w14:paraId="7BCCDA7D" w14:textId="77777777" w:rsidR="00B57DF9" w:rsidRPr="00B57DF9" w:rsidRDefault="00B57DF9" w:rsidP="00B57DF9">
      <w:pPr>
        <w:spacing w:line="240" w:lineRule="auto"/>
        <w:contextualSpacing/>
        <w:jc w:val="right"/>
        <w:rPr>
          <w:b/>
          <w:lang w:val="pt-PT"/>
        </w:rPr>
      </w:pPr>
      <w:r w:rsidRPr="00B57DF9">
        <w:rPr>
          <w:b/>
          <w:lang w:val="pt-PT"/>
        </w:rPr>
        <w:t>913604610</w:t>
      </w:r>
    </w:p>
    <w:p w14:paraId="7CE6D6AF" w14:textId="77777777" w:rsidR="00B57DF9" w:rsidRPr="00B57DF9" w:rsidRDefault="00B57DF9" w:rsidP="00B57DF9">
      <w:pPr>
        <w:spacing w:line="240" w:lineRule="auto"/>
        <w:contextualSpacing/>
        <w:jc w:val="right"/>
        <w:rPr>
          <w:b/>
          <w:lang w:val="pt-PT"/>
        </w:rPr>
      </w:pPr>
      <w:r w:rsidRPr="00B57DF9">
        <w:rPr>
          <w:b/>
          <w:lang w:val="pt-PT"/>
        </w:rPr>
        <w:t>Sara Ribas</w:t>
      </w:r>
    </w:p>
    <w:p w14:paraId="3EC6E4E5" w14:textId="77777777" w:rsidR="00B57DF9" w:rsidRPr="00B57DF9" w:rsidRDefault="004947B1" w:rsidP="00B57DF9">
      <w:pPr>
        <w:spacing w:line="240" w:lineRule="auto"/>
        <w:contextualSpacing/>
        <w:jc w:val="right"/>
        <w:rPr>
          <w:lang w:val="pt-PT"/>
        </w:rPr>
      </w:pPr>
      <w:hyperlink r:id="rId13" w:history="1">
        <w:r w:rsidR="00B57DF9" w:rsidRPr="00B57DF9">
          <w:rPr>
            <w:rStyle w:val="Hipervnculo"/>
            <w:lang w:val="pt-PT"/>
          </w:rPr>
          <w:t>comunicacion@cepesca.es</w:t>
        </w:r>
      </w:hyperlink>
    </w:p>
    <w:p w14:paraId="6F47FFA1" w14:textId="77777777" w:rsidR="00B57DF9" w:rsidRPr="00B57DF9" w:rsidRDefault="00B57DF9" w:rsidP="00B57DF9">
      <w:pPr>
        <w:spacing w:line="240" w:lineRule="auto"/>
        <w:contextualSpacing/>
        <w:jc w:val="right"/>
        <w:rPr>
          <w:b/>
        </w:rPr>
      </w:pPr>
      <w:r w:rsidRPr="00B57DF9">
        <w:rPr>
          <w:b/>
          <w:lang w:val="es-ES_tradnl"/>
        </w:rPr>
        <w:t>914323489</w:t>
      </w:r>
    </w:p>
    <w:p w14:paraId="270F6529" w14:textId="77777777" w:rsidR="00B57DF9" w:rsidRPr="00F500A2" w:rsidRDefault="00B57DF9" w:rsidP="00BB5356">
      <w:pPr>
        <w:spacing w:line="240" w:lineRule="auto"/>
        <w:contextualSpacing/>
        <w:jc w:val="both"/>
      </w:pPr>
    </w:p>
    <w:p w14:paraId="663D9A60" w14:textId="77777777" w:rsidR="00474D66" w:rsidRPr="00BB5356" w:rsidRDefault="00474D66" w:rsidP="00BB5356">
      <w:pPr>
        <w:jc w:val="both"/>
        <w:rPr>
          <w:b/>
        </w:rPr>
      </w:pPr>
    </w:p>
    <w:p w14:paraId="6458395A" w14:textId="77777777" w:rsidR="00474D66" w:rsidRDefault="00474D66" w:rsidP="00D40B42">
      <w:pPr>
        <w:pStyle w:val="Prrafodelista"/>
        <w:jc w:val="both"/>
        <w:rPr>
          <w:b/>
        </w:rPr>
      </w:pPr>
    </w:p>
    <w:p w14:paraId="279D21CA" w14:textId="77777777" w:rsidR="00474D66" w:rsidRDefault="00474D66" w:rsidP="00D40B42">
      <w:pPr>
        <w:pStyle w:val="Prrafodelista"/>
        <w:jc w:val="both"/>
        <w:rPr>
          <w:b/>
        </w:rPr>
      </w:pPr>
    </w:p>
    <w:p w14:paraId="52261208" w14:textId="77777777" w:rsidR="00062208" w:rsidRPr="003F1B2A" w:rsidRDefault="00062208" w:rsidP="008665F5">
      <w:pPr>
        <w:pStyle w:val="Prrafodelista"/>
        <w:jc w:val="both"/>
        <w:rPr>
          <w:b/>
        </w:rPr>
      </w:pPr>
    </w:p>
    <w:sectPr w:rsidR="00062208" w:rsidRPr="003F1B2A" w:rsidSect="00322C89">
      <w:footerReference w:type="default" r:id="rId14"/>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7BECA" w14:textId="77777777" w:rsidR="004947B1" w:rsidRDefault="004947B1" w:rsidP="00322C89">
      <w:pPr>
        <w:spacing w:after="0" w:line="240" w:lineRule="auto"/>
      </w:pPr>
      <w:r>
        <w:separator/>
      </w:r>
    </w:p>
  </w:endnote>
  <w:endnote w:type="continuationSeparator" w:id="0">
    <w:p w14:paraId="11C3EE7D" w14:textId="77777777" w:rsidR="004947B1" w:rsidRDefault="004947B1" w:rsidP="00322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001266"/>
      <w:docPartObj>
        <w:docPartGallery w:val="Page Numbers (Bottom of Page)"/>
        <w:docPartUnique/>
      </w:docPartObj>
    </w:sdtPr>
    <w:sdtEndPr/>
    <w:sdtContent>
      <w:p w14:paraId="5580CDB3" w14:textId="73183B51" w:rsidR="00322C89" w:rsidRDefault="00322C89">
        <w:pPr>
          <w:pStyle w:val="Piedepgina"/>
          <w:jc w:val="right"/>
        </w:pPr>
        <w:r>
          <w:fldChar w:fldCharType="begin"/>
        </w:r>
        <w:r>
          <w:instrText>PAGE   \* MERGEFORMAT</w:instrText>
        </w:r>
        <w:r>
          <w:fldChar w:fldCharType="separate"/>
        </w:r>
        <w:r w:rsidR="00B92F8D">
          <w:rPr>
            <w:noProof/>
          </w:rPr>
          <w:t>3</w:t>
        </w:r>
        <w:r>
          <w:fldChar w:fldCharType="end"/>
        </w:r>
      </w:p>
    </w:sdtContent>
  </w:sdt>
  <w:p w14:paraId="496024F8" w14:textId="77777777" w:rsidR="00322C89" w:rsidRDefault="00322C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0C5A5" w14:textId="77777777" w:rsidR="004947B1" w:rsidRDefault="004947B1" w:rsidP="00322C89">
      <w:pPr>
        <w:spacing w:after="0" w:line="240" w:lineRule="auto"/>
      </w:pPr>
      <w:r>
        <w:separator/>
      </w:r>
    </w:p>
  </w:footnote>
  <w:footnote w:type="continuationSeparator" w:id="0">
    <w:p w14:paraId="0EA37FF5" w14:textId="77777777" w:rsidR="004947B1" w:rsidRDefault="004947B1" w:rsidP="00322C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336C4"/>
    <w:multiLevelType w:val="hybridMultilevel"/>
    <w:tmpl w:val="9254499C"/>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69D96D5C"/>
    <w:multiLevelType w:val="hybridMultilevel"/>
    <w:tmpl w:val="7E0E77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7FC"/>
    <w:rsid w:val="00010B38"/>
    <w:rsid w:val="000110CA"/>
    <w:rsid w:val="00062208"/>
    <w:rsid w:val="000B594D"/>
    <w:rsid w:val="000F308D"/>
    <w:rsid w:val="0010255A"/>
    <w:rsid w:val="00106943"/>
    <w:rsid w:val="00146A8C"/>
    <w:rsid w:val="00150749"/>
    <w:rsid w:val="001574FB"/>
    <w:rsid w:val="001864E5"/>
    <w:rsid w:val="00192E73"/>
    <w:rsid w:val="001B2DF9"/>
    <w:rsid w:val="001F528E"/>
    <w:rsid w:val="002138D0"/>
    <w:rsid w:val="002414AB"/>
    <w:rsid w:val="00256B31"/>
    <w:rsid w:val="00294EE9"/>
    <w:rsid w:val="002A1AC4"/>
    <w:rsid w:val="00305C13"/>
    <w:rsid w:val="00320287"/>
    <w:rsid w:val="00322C89"/>
    <w:rsid w:val="003246E2"/>
    <w:rsid w:val="00336618"/>
    <w:rsid w:val="00340879"/>
    <w:rsid w:val="0038351A"/>
    <w:rsid w:val="003F1B2A"/>
    <w:rsid w:val="00424764"/>
    <w:rsid w:val="00474D66"/>
    <w:rsid w:val="0048106C"/>
    <w:rsid w:val="004947B1"/>
    <w:rsid w:val="004B0D62"/>
    <w:rsid w:val="004B73A4"/>
    <w:rsid w:val="0057142A"/>
    <w:rsid w:val="00584241"/>
    <w:rsid w:val="005E171A"/>
    <w:rsid w:val="00625814"/>
    <w:rsid w:val="00647606"/>
    <w:rsid w:val="00661F97"/>
    <w:rsid w:val="008665F5"/>
    <w:rsid w:val="00883B82"/>
    <w:rsid w:val="008844C0"/>
    <w:rsid w:val="008E25A8"/>
    <w:rsid w:val="009329B3"/>
    <w:rsid w:val="00942BBC"/>
    <w:rsid w:val="00967ED3"/>
    <w:rsid w:val="009971CF"/>
    <w:rsid w:val="00A177FC"/>
    <w:rsid w:val="00A20FEF"/>
    <w:rsid w:val="00AF2E77"/>
    <w:rsid w:val="00AF37F3"/>
    <w:rsid w:val="00AF7A57"/>
    <w:rsid w:val="00B57DF9"/>
    <w:rsid w:val="00B71648"/>
    <w:rsid w:val="00B91BCF"/>
    <w:rsid w:val="00B92F8D"/>
    <w:rsid w:val="00BB5356"/>
    <w:rsid w:val="00BD1391"/>
    <w:rsid w:val="00BD627A"/>
    <w:rsid w:val="00BF1204"/>
    <w:rsid w:val="00C13A60"/>
    <w:rsid w:val="00C3318E"/>
    <w:rsid w:val="00C431A0"/>
    <w:rsid w:val="00C76BC1"/>
    <w:rsid w:val="00D40B42"/>
    <w:rsid w:val="00D42FCE"/>
    <w:rsid w:val="00D6296D"/>
    <w:rsid w:val="00D84352"/>
    <w:rsid w:val="00D94DE4"/>
    <w:rsid w:val="00DC5450"/>
    <w:rsid w:val="00DC628E"/>
    <w:rsid w:val="00DE4D1B"/>
    <w:rsid w:val="00E0219B"/>
    <w:rsid w:val="00E43D96"/>
    <w:rsid w:val="00E552AF"/>
    <w:rsid w:val="00F03EDF"/>
    <w:rsid w:val="00F448D2"/>
    <w:rsid w:val="00F6285F"/>
    <w:rsid w:val="00FC23CC"/>
    <w:rsid w:val="00FC35DF"/>
    <w:rsid w:val="00FD2E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57283"/>
  <w15:chartTrackingRefBased/>
  <w15:docId w15:val="{7DCACEC8-ACDC-47C5-BDEF-14C09935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77FC"/>
    <w:pPr>
      <w:ind w:left="720"/>
      <w:contextualSpacing/>
    </w:pPr>
  </w:style>
  <w:style w:type="paragraph" w:styleId="Encabezado">
    <w:name w:val="header"/>
    <w:basedOn w:val="Normal"/>
    <w:link w:val="EncabezadoCar"/>
    <w:uiPriority w:val="99"/>
    <w:unhideWhenUsed/>
    <w:rsid w:val="00322C8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2C89"/>
  </w:style>
  <w:style w:type="paragraph" w:styleId="Piedepgina">
    <w:name w:val="footer"/>
    <w:basedOn w:val="Normal"/>
    <w:link w:val="PiedepginaCar"/>
    <w:uiPriority w:val="99"/>
    <w:unhideWhenUsed/>
    <w:rsid w:val="00322C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2C89"/>
  </w:style>
  <w:style w:type="character" w:styleId="Hipervnculo">
    <w:name w:val="Hyperlink"/>
    <w:basedOn w:val="Fuentedeprrafopredeter"/>
    <w:uiPriority w:val="99"/>
    <w:unhideWhenUsed/>
    <w:rsid w:val="00B57D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pesca.es" TargetMode="External"/><Relationship Id="rId13" Type="http://schemas.openxmlformats.org/officeDocument/2006/relationships/hyperlink" Target="mailto:comunicacion@cepesca.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ugenio@bdicomunicacio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la@bdicomunicacio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aquel@bdicomunicacion.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6023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dc:creator>
  <cp:keywords/>
  <dc:description/>
  <cp:lastModifiedBy>Juan Pablo Viniegra</cp:lastModifiedBy>
  <cp:revision>2</cp:revision>
  <cp:lastPrinted>2016-12-09T10:51:00Z</cp:lastPrinted>
  <dcterms:created xsi:type="dcterms:W3CDTF">2016-12-10T12:49:00Z</dcterms:created>
  <dcterms:modified xsi:type="dcterms:W3CDTF">2016-12-10T12:49:00Z</dcterms:modified>
</cp:coreProperties>
</file>